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AE2F132" w14:textId="77777777" w:rsidR="00505C22" w:rsidRDefault="00505C22" w:rsidP="00505C22">
      <w:pPr>
        <w:spacing w:after="0" w:line="480" w:lineRule="auto"/>
        <w:contextualSpacing/>
        <w:jc w:val="center"/>
        <w:rPr>
          <w:rFonts w:ascii="Times New Roman" w:hAnsi="Times New Roman" w:cs="Times New Roman"/>
          <w:sz w:val="24"/>
          <w:szCs w:val="24"/>
        </w:rPr>
      </w:pPr>
    </w:p>
    <w:p w14:paraId="4F4BF69C" w14:textId="77777777" w:rsidR="00505C22" w:rsidRDefault="00505C22" w:rsidP="00505C22">
      <w:pPr>
        <w:spacing w:after="0" w:line="480" w:lineRule="auto"/>
        <w:contextualSpacing/>
        <w:jc w:val="center"/>
        <w:rPr>
          <w:rFonts w:ascii="Times New Roman" w:hAnsi="Times New Roman" w:cs="Times New Roman"/>
          <w:sz w:val="24"/>
          <w:szCs w:val="24"/>
        </w:rPr>
      </w:pPr>
    </w:p>
    <w:p w14:paraId="3040AAA5" w14:textId="77777777" w:rsidR="00505C22" w:rsidRDefault="00505C22" w:rsidP="00505C22">
      <w:pPr>
        <w:spacing w:after="0" w:line="480" w:lineRule="auto"/>
        <w:contextualSpacing/>
        <w:jc w:val="center"/>
        <w:rPr>
          <w:rFonts w:ascii="Times New Roman" w:hAnsi="Times New Roman" w:cs="Times New Roman"/>
          <w:sz w:val="24"/>
          <w:szCs w:val="24"/>
        </w:rPr>
      </w:pPr>
    </w:p>
    <w:p w14:paraId="3BDF4BF7" w14:textId="77777777" w:rsidR="00505C22" w:rsidRDefault="00505C22" w:rsidP="00505C22">
      <w:pPr>
        <w:spacing w:after="0" w:line="480" w:lineRule="auto"/>
        <w:contextualSpacing/>
        <w:jc w:val="center"/>
        <w:rPr>
          <w:rFonts w:ascii="Times New Roman" w:hAnsi="Times New Roman" w:cs="Times New Roman"/>
          <w:sz w:val="24"/>
          <w:szCs w:val="24"/>
        </w:rPr>
      </w:pPr>
    </w:p>
    <w:p w14:paraId="00721C46" w14:textId="77777777" w:rsidR="00505C22" w:rsidRDefault="00505C22" w:rsidP="00505C22">
      <w:pPr>
        <w:spacing w:after="0" w:line="480" w:lineRule="auto"/>
        <w:contextualSpacing/>
        <w:jc w:val="center"/>
        <w:rPr>
          <w:rFonts w:ascii="Times New Roman" w:hAnsi="Times New Roman" w:cs="Times New Roman"/>
          <w:sz w:val="24"/>
          <w:szCs w:val="24"/>
        </w:rPr>
      </w:pPr>
    </w:p>
    <w:p w14:paraId="34B35F3B" w14:textId="77777777" w:rsidR="00505C22" w:rsidRDefault="00505C22" w:rsidP="00505C22">
      <w:pPr>
        <w:spacing w:after="0" w:line="480" w:lineRule="auto"/>
        <w:contextualSpacing/>
        <w:jc w:val="center"/>
        <w:rPr>
          <w:rFonts w:ascii="Times New Roman" w:hAnsi="Times New Roman" w:cs="Times New Roman"/>
          <w:sz w:val="24"/>
          <w:szCs w:val="24"/>
        </w:rPr>
      </w:pPr>
    </w:p>
    <w:p w14:paraId="60591DF2" w14:textId="77777777" w:rsidR="00505C22" w:rsidRDefault="00505C22" w:rsidP="00505C22">
      <w:pPr>
        <w:spacing w:after="0" w:line="480" w:lineRule="auto"/>
        <w:contextualSpacing/>
        <w:jc w:val="center"/>
        <w:rPr>
          <w:rFonts w:ascii="Times New Roman" w:hAnsi="Times New Roman" w:cs="Times New Roman"/>
          <w:sz w:val="24"/>
          <w:szCs w:val="24"/>
        </w:rPr>
      </w:pPr>
    </w:p>
    <w:p w14:paraId="55DEA524" w14:textId="77777777" w:rsidR="00505C22" w:rsidRDefault="00505C22" w:rsidP="00505C22">
      <w:pPr>
        <w:spacing w:after="0" w:line="480" w:lineRule="auto"/>
        <w:contextualSpacing/>
        <w:jc w:val="center"/>
        <w:rPr>
          <w:rFonts w:ascii="Times New Roman" w:hAnsi="Times New Roman" w:cs="Times New Roman"/>
          <w:sz w:val="24"/>
          <w:szCs w:val="24"/>
        </w:rPr>
      </w:pPr>
    </w:p>
    <w:p w14:paraId="59723E87" w14:textId="77777777" w:rsidR="00505C22" w:rsidRDefault="00505C22" w:rsidP="00505C22">
      <w:pPr>
        <w:spacing w:after="0" w:line="480" w:lineRule="auto"/>
        <w:contextualSpacing/>
        <w:jc w:val="center"/>
        <w:rPr>
          <w:rFonts w:ascii="Times New Roman" w:hAnsi="Times New Roman" w:cs="Times New Roman"/>
          <w:sz w:val="24"/>
          <w:szCs w:val="24"/>
        </w:rPr>
      </w:pPr>
    </w:p>
    <w:p w14:paraId="0ED5A2D4" w14:textId="77777777" w:rsidR="00505C22" w:rsidRDefault="00E21BB4" w:rsidP="00505C22">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Company ‘P’ Analysis Report</w:t>
      </w:r>
    </w:p>
    <w:p w14:paraId="34D45411" w14:textId="77777777" w:rsidR="00505C22" w:rsidRDefault="00E21BB4" w:rsidP="00505C22">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Cleveland State University</w:t>
      </w:r>
    </w:p>
    <w:p w14:paraId="50A9DABB" w14:textId="77777777" w:rsidR="00505C22" w:rsidRDefault="00E21BB4" w:rsidP="00505C22">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Dominc Durdella</w:t>
      </w:r>
    </w:p>
    <w:p w14:paraId="1F390783" w14:textId="77777777" w:rsidR="00505C22" w:rsidRDefault="00505C22" w:rsidP="00505C22">
      <w:pPr>
        <w:spacing w:after="0" w:line="480" w:lineRule="auto"/>
        <w:contextualSpacing/>
        <w:jc w:val="center"/>
        <w:rPr>
          <w:rFonts w:ascii="Times New Roman" w:hAnsi="Times New Roman" w:cs="Times New Roman"/>
          <w:sz w:val="24"/>
          <w:szCs w:val="24"/>
        </w:rPr>
      </w:pPr>
    </w:p>
    <w:p w14:paraId="69E1DC51" w14:textId="77777777" w:rsidR="00505C22" w:rsidRDefault="00505C22" w:rsidP="00505C22">
      <w:pPr>
        <w:spacing w:after="0" w:line="480" w:lineRule="auto"/>
        <w:contextualSpacing/>
        <w:jc w:val="center"/>
        <w:rPr>
          <w:rFonts w:ascii="Times New Roman" w:hAnsi="Times New Roman" w:cs="Times New Roman"/>
          <w:sz w:val="24"/>
          <w:szCs w:val="24"/>
        </w:rPr>
      </w:pPr>
    </w:p>
    <w:p w14:paraId="18CE0451" w14:textId="77777777" w:rsidR="00505C22" w:rsidRDefault="00505C22" w:rsidP="00505C22">
      <w:pPr>
        <w:spacing w:after="0" w:line="480" w:lineRule="auto"/>
        <w:contextualSpacing/>
        <w:jc w:val="center"/>
        <w:rPr>
          <w:rFonts w:ascii="Times New Roman" w:hAnsi="Times New Roman" w:cs="Times New Roman"/>
          <w:sz w:val="24"/>
          <w:szCs w:val="24"/>
        </w:rPr>
      </w:pPr>
    </w:p>
    <w:p w14:paraId="328858B1" w14:textId="77777777" w:rsidR="00505C22" w:rsidRDefault="00505C22" w:rsidP="00505C22">
      <w:pPr>
        <w:spacing w:after="0" w:line="480" w:lineRule="auto"/>
        <w:contextualSpacing/>
        <w:jc w:val="center"/>
        <w:rPr>
          <w:rFonts w:ascii="Times New Roman" w:hAnsi="Times New Roman" w:cs="Times New Roman"/>
          <w:sz w:val="24"/>
          <w:szCs w:val="24"/>
        </w:rPr>
      </w:pPr>
    </w:p>
    <w:p w14:paraId="33BF39CC" w14:textId="77777777" w:rsidR="00505C22" w:rsidRDefault="00505C22" w:rsidP="00505C22">
      <w:pPr>
        <w:spacing w:after="0" w:line="480" w:lineRule="auto"/>
        <w:contextualSpacing/>
        <w:jc w:val="center"/>
        <w:rPr>
          <w:rFonts w:ascii="Times New Roman" w:hAnsi="Times New Roman" w:cs="Times New Roman"/>
          <w:sz w:val="24"/>
          <w:szCs w:val="24"/>
        </w:rPr>
      </w:pPr>
    </w:p>
    <w:p w14:paraId="4A190320" w14:textId="77777777" w:rsidR="00505C22" w:rsidRDefault="00505C22" w:rsidP="00505C22">
      <w:pPr>
        <w:spacing w:after="0" w:line="480" w:lineRule="auto"/>
        <w:contextualSpacing/>
        <w:jc w:val="center"/>
        <w:rPr>
          <w:rFonts w:ascii="Times New Roman" w:hAnsi="Times New Roman" w:cs="Times New Roman"/>
          <w:sz w:val="24"/>
          <w:szCs w:val="24"/>
        </w:rPr>
      </w:pPr>
    </w:p>
    <w:p w14:paraId="3C99CF6C" w14:textId="77777777" w:rsidR="00505C22" w:rsidRDefault="00505C22" w:rsidP="00505C22">
      <w:pPr>
        <w:spacing w:after="0" w:line="480" w:lineRule="auto"/>
        <w:contextualSpacing/>
        <w:jc w:val="center"/>
        <w:rPr>
          <w:rFonts w:ascii="Times New Roman" w:hAnsi="Times New Roman" w:cs="Times New Roman"/>
          <w:sz w:val="24"/>
          <w:szCs w:val="24"/>
        </w:rPr>
      </w:pPr>
    </w:p>
    <w:p w14:paraId="73B7322E" w14:textId="77777777" w:rsidR="00505C22" w:rsidRDefault="00505C22" w:rsidP="00505C22">
      <w:pPr>
        <w:spacing w:after="0" w:line="480" w:lineRule="auto"/>
        <w:contextualSpacing/>
        <w:jc w:val="center"/>
        <w:rPr>
          <w:rFonts w:ascii="Times New Roman" w:hAnsi="Times New Roman" w:cs="Times New Roman"/>
          <w:sz w:val="24"/>
          <w:szCs w:val="24"/>
        </w:rPr>
      </w:pPr>
    </w:p>
    <w:p w14:paraId="560D07A5" w14:textId="77777777" w:rsidR="00505C22" w:rsidRDefault="00505C22" w:rsidP="00505C22">
      <w:pPr>
        <w:spacing w:after="0" w:line="480" w:lineRule="auto"/>
        <w:contextualSpacing/>
        <w:jc w:val="center"/>
        <w:rPr>
          <w:rFonts w:ascii="Times New Roman" w:hAnsi="Times New Roman" w:cs="Times New Roman"/>
          <w:sz w:val="24"/>
          <w:szCs w:val="24"/>
        </w:rPr>
      </w:pPr>
    </w:p>
    <w:p w14:paraId="4CEB2560" w14:textId="77777777" w:rsidR="00505C22" w:rsidRDefault="00505C22" w:rsidP="00505C22">
      <w:pPr>
        <w:spacing w:after="0" w:line="480" w:lineRule="auto"/>
        <w:contextualSpacing/>
        <w:jc w:val="center"/>
        <w:rPr>
          <w:rFonts w:ascii="Times New Roman" w:hAnsi="Times New Roman" w:cs="Times New Roman"/>
          <w:sz w:val="24"/>
          <w:szCs w:val="24"/>
        </w:rPr>
      </w:pPr>
    </w:p>
    <w:p w14:paraId="7405A4F2" w14:textId="77777777" w:rsidR="00505C22" w:rsidRDefault="00505C22" w:rsidP="00505C22">
      <w:pPr>
        <w:spacing w:after="0" w:line="480" w:lineRule="auto"/>
        <w:contextualSpacing/>
        <w:jc w:val="center"/>
        <w:rPr>
          <w:rFonts w:ascii="Times New Roman" w:hAnsi="Times New Roman" w:cs="Times New Roman"/>
          <w:sz w:val="24"/>
          <w:szCs w:val="24"/>
        </w:rPr>
      </w:pPr>
      <w:bookmarkStart w:id="0" w:name="_GoBack"/>
      <w:bookmarkEnd w:id="0"/>
    </w:p>
    <w:p w14:paraId="1795C649" w14:textId="77777777" w:rsidR="00002DF4" w:rsidRDefault="00E21BB4" w:rsidP="00505C22">
      <w:pPr>
        <w:spacing w:after="0" w:line="480" w:lineRule="auto"/>
        <w:contextualSpacing/>
        <w:jc w:val="center"/>
        <w:rPr>
          <w:rFonts w:ascii="Times New Roman" w:hAnsi="Times New Roman" w:cs="Times New Roman"/>
          <w:b/>
          <w:bCs/>
          <w:sz w:val="24"/>
          <w:szCs w:val="24"/>
        </w:rPr>
      </w:pPr>
      <w:r w:rsidRPr="00505C22">
        <w:rPr>
          <w:rFonts w:ascii="Times New Roman" w:hAnsi="Times New Roman" w:cs="Times New Roman"/>
          <w:b/>
          <w:bCs/>
          <w:sz w:val="24"/>
          <w:szCs w:val="24"/>
        </w:rPr>
        <w:lastRenderedPageBreak/>
        <w:t>Introduction</w:t>
      </w:r>
    </w:p>
    <w:p w14:paraId="67E4A76C" w14:textId="77777777" w:rsidR="00841534" w:rsidRDefault="00E21BB4" w:rsidP="00002DF4">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The focus of the analysis was on the revenue per year, to monitor the annual growth of revenues in Company ‘P’. The overall contribution of regions was also a key objective to determine which regions are doing good, average and worse. The distribution chan</w:t>
      </w:r>
      <w:r>
        <w:rPr>
          <w:rFonts w:ascii="Times New Roman" w:hAnsi="Times New Roman" w:cs="Times New Roman"/>
          <w:sz w:val="24"/>
          <w:szCs w:val="24"/>
        </w:rPr>
        <w:t xml:space="preserve">nels were the next merit, to narrow down to the specific hotspots of consumers, be it grocery stores, independent grocers and hypermarkets. </w:t>
      </w:r>
    </w:p>
    <w:p w14:paraId="49F7D052" w14:textId="77777777" w:rsidR="00002DF4" w:rsidRPr="00002DF4" w:rsidRDefault="00E21BB4" w:rsidP="00841534">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Having the distributions evaluated, the demand for products based on the type and quantity was assessed, to predict future productions. </w:t>
      </w:r>
      <w:r w:rsidR="00D12540">
        <w:rPr>
          <w:rFonts w:ascii="Times New Roman" w:hAnsi="Times New Roman" w:cs="Times New Roman"/>
          <w:sz w:val="24"/>
          <w:szCs w:val="24"/>
        </w:rPr>
        <w:t>Additionally</w:t>
      </w:r>
      <w:r>
        <w:rPr>
          <w:rFonts w:ascii="Times New Roman" w:hAnsi="Times New Roman" w:cs="Times New Roman"/>
          <w:sz w:val="24"/>
          <w:szCs w:val="24"/>
        </w:rPr>
        <w:t>, the company's performance was gauged among the competitors as a contributing accessory to the strengths, w</w:t>
      </w:r>
      <w:r>
        <w:rPr>
          <w:rFonts w:ascii="Times New Roman" w:hAnsi="Times New Roman" w:cs="Times New Roman"/>
          <w:sz w:val="24"/>
          <w:szCs w:val="24"/>
        </w:rPr>
        <w:t>eaknesses, opportunities, and threats within the market.</w:t>
      </w:r>
    </w:p>
    <w:p w14:paraId="42FFBDD2" w14:textId="77777777" w:rsidR="00505C22" w:rsidRDefault="00E21BB4" w:rsidP="00505C22">
      <w:pPr>
        <w:spacing w:after="0" w:line="480" w:lineRule="auto"/>
        <w:contextualSpacing/>
        <w:jc w:val="center"/>
        <w:rPr>
          <w:rFonts w:ascii="Times New Roman" w:hAnsi="Times New Roman" w:cs="Times New Roman"/>
          <w:b/>
          <w:bCs/>
          <w:sz w:val="24"/>
          <w:szCs w:val="24"/>
        </w:rPr>
      </w:pPr>
      <w:r w:rsidRPr="00505C22">
        <w:rPr>
          <w:rFonts w:ascii="Times New Roman" w:hAnsi="Times New Roman" w:cs="Times New Roman"/>
          <w:b/>
          <w:bCs/>
          <w:sz w:val="24"/>
          <w:szCs w:val="24"/>
        </w:rPr>
        <w:t>Annual Revenue Assessment</w:t>
      </w:r>
    </w:p>
    <w:p w14:paraId="6821E792" w14:textId="77777777" w:rsidR="00841534" w:rsidRDefault="00E21BB4" w:rsidP="00841534">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3240FB">
        <w:rPr>
          <w:rFonts w:ascii="Times New Roman" w:hAnsi="Times New Roman" w:cs="Times New Roman"/>
          <w:sz w:val="24"/>
          <w:szCs w:val="24"/>
        </w:rPr>
        <w:t>It is indeed recommendable to have an overall positive trend in revenue since 2012. The year 2012 was the worst for the company and the revenue has not been on record for going back to such a point. The following year; 2013 was the best year in business summing double the growth in 2012.</w:t>
      </w:r>
    </w:p>
    <w:p w14:paraId="77BDB469" w14:textId="77777777" w:rsidR="00841534" w:rsidRDefault="00E21BB4" w:rsidP="00841534">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However, there was an exponential decline and incline every two years respectively, until 2017. Meaning in 2014 and 2015, the revenue went </w:t>
      </w:r>
      <w:r>
        <w:rPr>
          <w:rFonts w:ascii="Times New Roman" w:hAnsi="Times New Roman" w:cs="Times New Roman"/>
          <w:sz w:val="24"/>
          <w:szCs w:val="24"/>
        </w:rPr>
        <w:t>down, increased for the next years for the trend to change in 2017. The year 2018, was a drop from 2017, precisely below average, with the company having an increase in 2019.</w:t>
      </w:r>
    </w:p>
    <w:p w14:paraId="43BF2152" w14:textId="77777777" w:rsidR="00841534" w:rsidRDefault="00E21BB4" w:rsidP="00841534">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Conclusively, within the 8 years, only three years achieved above-average revenue</w:t>
      </w:r>
      <w:r>
        <w:rPr>
          <w:rFonts w:ascii="Times New Roman" w:hAnsi="Times New Roman" w:cs="Times New Roman"/>
          <w:sz w:val="24"/>
          <w:szCs w:val="24"/>
        </w:rPr>
        <w:t>, one slightly below average and three years being the worst. The data is summarized and illustrated as follows.</w:t>
      </w:r>
    </w:p>
    <w:p w14:paraId="166E2653" w14:textId="77777777" w:rsidR="00841534" w:rsidRDefault="00E21BB4" w:rsidP="00841534">
      <w:pPr>
        <w:spacing w:after="0" w:line="480" w:lineRule="auto"/>
        <w:ind w:firstLine="720"/>
        <w:contextualSpacing/>
        <w:rPr>
          <w:rFonts w:ascii="Times New Roman" w:hAnsi="Times New Roman" w:cs="Times New Roman"/>
          <w:sz w:val="24"/>
          <w:szCs w:val="24"/>
        </w:rPr>
      </w:pPr>
      <w:r w:rsidRPr="00841534">
        <w:rPr>
          <w:rFonts w:ascii="Times New Roman" w:hAnsi="Times New Roman" w:cs="Times New Roman"/>
          <w:noProof/>
          <w:sz w:val="24"/>
          <w:szCs w:val="24"/>
        </w:rPr>
        <mc:AlternateContent>
          <mc:Choice Requires="wps">
            <w:drawing>
              <wp:anchor distT="45720" distB="45720" distL="114300" distR="114300" simplePos="0" relativeHeight="251658240" behindDoc="0" locked="0" layoutInCell="1" allowOverlap="1" wp14:anchorId="61F5DB6C" wp14:editId="2FEFAAA8">
                <wp:simplePos x="0" y="0"/>
                <wp:positionH relativeFrom="column">
                  <wp:posOffset>904875</wp:posOffset>
                </wp:positionH>
                <wp:positionV relativeFrom="paragraph">
                  <wp:posOffset>13970</wp:posOffset>
                </wp:positionV>
                <wp:extent cx="3533775" cy="342900"/>
                <wp:effectExtent l="0" t="0" r="2857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33775" cy="342900"/>
                        </a:xfrm>
                        <a:prstGeom prst="rect">
                          <a:avLst/>
                        </a:prstGeom>
                        <a:ln>
                          <a:headEnd/>
                          <a:tailEnd/>
                        </a:ln>
                      </wps:spPr>
                      <wps:style>
                        <a:lnRef idx="2">
                          <a:schemeClr val="accent5"/>
                        </a:lnRef>
                        <a:fillRef idx="1">
                          <a:schemeClr val="lt1"/>
                        </a:fillRef>
                        <a:effectRef idx="0">
                          <a:schemeClr val="accent5"/>
                        </a:effectRef>
                        <a:fontRef idx="minor">
                          <a:schemeClr val="dk1"/>
                        </a:fontRef>
                      </wps:style>
                      <wps:txbx>
                        <w:txbxContent>
                          <w:p w14:paraId="61D91223" w14:textId="77777777" w:rsidR="00841534" w:rsidRPr="00841534" w:rsidRDefault="00E21BB4" w:rsidP="00841534">
                            <w:pPr>
                              <w:jc w:val="center"/>
                              <w:rPr>
                                <w:rFonts w:ascii="Calibri" w:eastAsia="Times New Roman" w:hAnsi="Calibri" w:cs="Times New Roman"/>
                                <w:color w:val="000000"/>
                              </w:rPr>
                            </w:pPr>
                            <w:r>
                              <w:t xml:space="preserve">Company ‘P’ Average Revenue = </w:t>
                            </w:r>
                            <w:r w:rsidRPr="00841534">
                              <w:rPr>
                                <w:rFonts w:ascii="Calibri" w:eastAsia="Times New Roman" w:hAnsi="Calibri" w:cs="Times New Roman"/>
                                <w:color w:val="000000"/>
                              </w:rPr>
                              <w:t>$     1,704,118.30</w:t>
                            </w:r>
                          </w:p>
                          <w:p w14:paraId="5F99C17F" w14:textId="77777777" w:rsidR="00841534" w:rsidRDefault="00841534" w:rsidP="00841534">
                            <w:pPr>
                              <w:jc w:val="center"/>
                            </w:pP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5" type="#_x0000_t202" style="width:278.25pt;height:27pt;margin-top:1.1pt;margin-left:71.25pt;mso-height-percent:0;mso-height-relative:margin;mso-width-percent:0;mso-width-relative:margin;mso-wrap-distance-bottom:3.6pt;mso-wrap-distance-left:9pt;mso-wrap-distance-right:9pt;mso-wrap-distance-top:3.6pt;mso-wrap-style:square;position:absolute;visibility:visible;v-text-anchor:top;z-index:251659264" fillcolor="white" strokecolor="#5b9bd5" strokeweight="1pt">
                <v:textbox>
                  <w:txbxContent>
                    <w:p w:rsidR="00841534" w:rsidRPr="00841534" w:rsidP="00841534" w14:paraId="2A536426" w14:textId="1EDF12EA">
                      <w:pPr>
                        <w:jc w:val="center"/>
                        <w:rPr>
                          <w:rFonts w:ascii="Calibri" w:eastAsia="Times New Roman" w:hAnsi="Calibri" w:cs="Times New Roman"/>
                          <w:color w:val="000000"/>
                        </w:rPr>
                      </w:pPr>
                      <w:r>
                        <w:t xml:space="preserve">Company ‘P’ </w:t>
                      </w:r>
                      <w:r>
                        <w:t xml:space="preserve">Average Revenue = </w:t>
                      </w:r>
                      <w:r w:rsidRPr="00841534">
                        <w:rPr>
                          <w:rFonts w:ascii="Calibri" w:eastAsia="Times New Roman" w:hAnsi="Calibri" w:cs="Times New Roman"/>
                          <w:color w:val="000000"/>
                        </w:rPr>
                        <w:t>$     1,704,118.30</w:t>
                      </w:r>
                    </w:p>
                    <w:p w:rsidR="00841534" w:rsidP="00841534" w14:paraId="5027E60F" w14:textId="538C3E0B">
                      <w:pPr>
                        <w:jc w:val="center"/>
                      </w:pPr>
                    </w:p>
                  </w:txbxContent>
                </v:textbox>
                <w10:wrap type="square"/>
              </v:shape>
            </w:pict>
          </mc:Fallback>
        </mc:AlternateContent>
      </w:r>
    </w:p>
    <w:p w14:paraId="1AC10855" w14:textId="77777777" w:rsidR="00841534" w:rsidRDefault="00E21BB4" w:rsidP="00841534">
      <w:pPr>
        <w:spacing w:after="0" w:line="480" w:lineRule="auto"/>
        <w:contextualSpacing/>
        <w:rPr>
          <w:rFonts w:ascii="Times New Roman" w:hAnsi="Times New Roman" w:cs="Times New Roman"/>
          <w:i/>
          <w:iCs/>
          <w:sz w:val="24"/>
          <w:szCs w:val="24"/>
          <w:u w:val="single"/>
        </w:rPr>
      </w:pPr>
      <w:r w:rsidRPr="00841534">
        <w:rPr>
          <w:rFonts w:ascii="Times New Roman" w:hAnsi="Times New Roman" w:cs="Times New Roman"/>
          <w:i/>
          <w:iCs/>
          <w:sz w:val="24"/>
          <w:szCs w:val="24"/>
          <w:u w:val="single"/>
        </w:rPr>
        <w:lastRenderedPageBreak/>
        <w:t>Line Chart illustration of the Annual Revenue for the Years 2012-2019</w:t>
      </w:r>
    </w:p>
    <w:p w14:paraId="7A6977F9" w14:textId="77777777" w:rsidR="00841534" w:rsidRPr="00841534" w:rsidRDefault="00E21BB4" w:rsidP="00D12540">
      <w:pPr>
        <w:spacing w:after="0" w:line="480" w:lineRule="auto"/>
        <w:contextualSpacing/>
        <w:jc w:val="center"/>
        <w:rPr>
          <w:rFonts w:ascii="Times New Roman" w:hAnsi="Times New Roman" w:cs="Times New Roman"/>
          <w:i/>
          <w:iCs/>
          <w:sz w:val="24"/>
          <w:szCs w:val="24"/>
          <w:u w:val="single"/>
        </w:rPr>
      </w:pPr>
      <w:r>
        <w:rPr>
          <w:noProof/>
        </w:rPr>
        <w:drawing>
          <wp:inline distT="0" distB="0" distL="0" distR="0" wp14:anchorId="1872C281" wp14:editId="059C8FAE">
            <wp:extent cx="5581650" cy="3190875"/>
            <wp:effectExtent l="0" t="0" r="0" b="0"/>
            <wp:docPr id="1" name="Chart 1">
              <a:extLst xmlns:a="http://schemas.openxmlformats.org/drawingml/2006/main">
                <a:ext uri="{FF2B5EF4-FFF2-40B4-BE49-F238E27FC236}">
                  <a16:creationId xmlns:a16="http://schemas.microsoft.com/office/drawing/2014/main" id="{148C6C21-3BAE-481B-BC69-23DE02DEDA5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14:paraId="3B2C7628" w14:textId="77777777" w:rsidR="00505C22" w:rsidRDefault="00E21BB4" w:rsidP="00841534">
      <w:pPr>
        <w:spacing w:after="0" w:line="480" w:lineRule="auto"/>
        <w:contextualSpacing/>
        <w:jc w:val="center"/>
        <w:rPr>
          <w:rFonts w:ascii="Times New Roman" w:hAnsi="Times New Roman" w:cs="Times New Roman"/>
          <w:b/>
          <w:bCs/>
          <w:sz w:val="24"/>
          <w:szCs w:val="24"/>
        </w:rPr>
      </w:pPr>
      <w:r w:rsidRPr="00505C22">
        <w:rPr>
          <w:rFonts w:ascii="Times New Roman" w:hAnsi="Times New Roman" w:cs="Times New Roman"/>
          <w:b/>
          <w:bCs/>
          <w:sz w:val="24"/>
          <w:szCs w:val="24"/>
        </w:rPr>
        <w:t xml:space="preserve">Regional </w:t>
      </w:r>
      <w:r w:rsidRPr="00505C22">
        <w:rPr>
          <w:rFonts w:ascii="Times New Roman" w:hAnsi="Times New Roman" w:cs="Times New Roman"/>
          <w:b/>
          <w:bCs/>
          <w:sz w:val="24"/>
          <w:szCs w:val="24"/>
        </w:rPr>
        <w:t>Revenue Assessment</w:t>
      </w:r>
    </w:p>
    <w:p w14:paraId="33BDA92F" w14:textId="77777777" w:rsidR="00EC63EE" w:rsidRDefault="00E21BB4" w:rsidP="00EC63EE">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 Based on the data analysis, on regional sales, South topped the list with 41.80% of the total revenue, followed by North at 30.39% and lastly West at 27.80%. </w:t>
      </w:r>
      <w:r w:rsidR="00E015CA">
        <w:rPr>
          <w:rFonts w:ascii="Times New Roman" w:hAnsi="Times New Roman" w:cs="Times New Roman"/>
          <w:sz w:val="24"/>
          <w:szCs w:val="24"/>
        </w:rPr>
        <w:t>According to the smart insights presented by S</w:t>
      </w:r>
      <w:r w:rsidR="00077157">
        <w:rPr>
          <w:rFonts w:ascii="Times New Roman" w:hAnsi="Times New Roman" w:cs="Times New Roman"/>
          <w:sz w:val="24"/>
          <w:szCs w:val="24"/>
        </w:rPr>
        <w:t xml:space="preserve">ap Cloud Analytics, the trend </w:t>
      </w:r>
      <w:r w:rsidR="00EE2E54">
        <w:rPr>
          <w:rFonts w:ascii="Times New Roman" w:hAnsi="Times New Roman" w:cs="Times New Roman"/>
          <w:sz w:val="24"/>
          <w:szCs w:val="24"/>
        </w:rPr>
        <w:t>was</w:t>
      </w:r>
      <w:r w:rsidR="00077157">
        <w:rPr>
          <w:rFonts w:ascii="Times New Roman" w:hAnsi="Times New Roman" w:cs="Times New Roman"/>
          <w:sz w:val="24"/>
          <w:szCs w:val="24"/>
        </w:rPr>
        <w:t xml:space="preserve"> in line with the overall trend of regional revenue by all the companies selling similar products.</w:t>
      </w:r>
    </w:p>
    <w:p w14:paraId="0E1042F3" w14:textId="77777777" w:rsidR="00077157" w:rsidRPr="00077157" w:rsidRDefault="00E21BB4" w:rsidP="00EC63EE">
      <w:pPr>
        <w:spacing w:after="0" w:line="480" w:lineRule="auto"/>
        <w:contextualSpacing/>
        <w:rPr>
          <w:rFonts w:ascii="Times New Roman" w:hAnsi="Times New Roman" w:cs="Times New Roman"/>
          <w:i/>
          <w:iCs/>
          <w:sz w:val="24"/>
          <w:szCs w:val="24"/>
          <w:u w:val="single"/>
        </w:rPr>
      </w:pPr>
      <w:r>
        <w:rPr>
          <w:rFonts w:ascii="Times New Roman" w:hAnsi="Times New Roman" w:cs="Times New Roman"/>
          <w:i/>
          <w:iCs/>
          <w:sz w:val="24"/>
          <w:szCs w:val="24"/>
          <w:u w:val="single"/>
        </w:rPr>
        <w:t>Overall Analysis of Revenue by Region for All Companies</w:t>
      </w:r>
      <w:r w:rsidR="00425707">
        <w:rPr>
          <w:rFonts w:ascii="Times New Roman" w:hAnsi="Times New Roman" w:cs="Times New Roman"/>
          <w:i/>
          <w:iCs/>
          <w:sz w:val="24"/>
          <w:szCs w:val="24"/>
          <w:u w:val="single"/>
        </w:rPr>
        <w:t xml:space="preserve"> vs Company P</w:t>
      </w:r>
      <w:r w:rsidR="00EE2E54">
        <w:rPr>
          <w:rFonts w:ascii="Times New Roman" w:hAnsi="Times New Roman" w:cs="Times New Roman"/>
          <w:i/>
          <w:iCs/>
          <w:sz w:val="24"/>
          <w:szCs w:val="24"/>
          <w:u w:val="single"/>
        </w:rPr>
        <w:t xml:space="preserve"> Revenue by Region</w:t>
      </w:r>
    </w:p>
    <w:p w14:paraId="20E513B6" w14:textId="77777777" w:rsidR="00EE2E54" w:rsidRDefault="00E21BB4" w:rsidP="00EE2E54">
      <w:pPr>
        <w:keepNext/>
        <w:spacing w:after="0" w:line="480" w:lineRule="auto"/>
        <w:contextualSpacing/>
        <w:jc w:val="center"/>
      </w:pPr>
      <w:r>
        <w:rPr>
          <w:noProof/>
        </w:rPr>
        <w:drawing>
          <wp:inline distT="0" distB="0" distL="0" distR="0" wp14:anchorId="6240BE41" wp14:editId="68CFBEB8">
            <wp:extent cx="5333728" cy="1943100"/>
            <wp:effectExtent l="19050" t="19050" r="19685" b="190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7523019" name=""/>
                    <pic:cNvPicPr/>
                  </pic:nvPicPr>
                  <pic:blipFill>
                    <a:blip r:embed="rId7"/>
                    <a:stretch>
                      <a:fillRect/>
                    </a:stretch>
                  </pic:blipFill>
                  <pic:spPr>
                    <a:xfrm>
                      <a:off x="0" y="0"/>
                      <a:ext cx="5377022" cy="1958872"/>
                    </a:xfrm>
                    <a:prstGeom prst="rect">
                      <a:avLst/>
                    </a:prstGeom>
                    <a:ln>
                      <a:solidFill>
                        <a:schemeClr val="tx1"/>
                      </a:solidFill>
                    </a:ln>
                  </pic:spPr>
                </pic:pic>
              </a:graphicData>
            </a:graphic>
          </wp:inline>
        </w:drawing>
      </w:r>
    </w:p>
    <w:p w14:paraId="0F31DFC6" w14:textId="77777777" w:rsidR="00077157" w:rsidRDefault="00E21BB4" w:rsidP="00EE2E54">
      <w:pPr>
        <w:pStyle w:val="Caption"/>
        <w:jc w:val="center"/>
        <w:rPr>
          <w:rFonts w:ascii="Times New Roman" w:hAnsi="Times New Roman" w:cs="Times New Roman"/>
          <w:sz w:val="24"/>
          <w:szCs w:val="24"/>
        </w:rPr>
      </w:pPr>
      <w:r>
        <w:t xml:space="preserve">Figure </w:t>
      </w:r>
      <w:fldSimple w:instr=" SEQ Figure \* ARABIC ">
        <w:r w:rsidR="00BE4ADF">
          <w:rPr>
            <w:noProof/>
          </w:rPr>
          <w:t>1</w:t>
        </w:r>
      </w:fldSimple>
      <w:r>
        <w:t xml:space="preserve"> Overall</w:t>
      </w:r>
      <w:r w:rsidR="00D12540">
        <w:t xml:space="preserve"> Revenue by All Companies </w:t>
      </w:r>
    </w:p>
    <w:p w14:paraId="07625A51" w14:textId="77777777" w:rsidR="00EE2E54" w:rsidRDefault="00E21BB4" w:rsidP="00EE2E54">
      <w:pPr>
        <w:keepNext/>
        <w:spacing w:after="0" w:line="480" w:lineRule="auto"/>
        <w:contextualSpacing/>
        <w:jc w:val="center"/>
      </w:pPr>
      <w:r>
        <w:rPr>
          <w:noProof/>
        </w:rPr>
        <w:lastRenderedPageBreak/>
        <w:drawing>
          <wp:inline distT="0" distB="0" distL="0" distR="0" wp14:anchorId="04D48365" wp14:editId="67C17867">
            <wp:extent cx="5419725" cy="2130513"/>
            <wp:effectExtent l="19050" t="19050" r="9525" b="222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53034" name=""/>
                    <pic:cNvPicPr/>
                  </pic:nvPicPr>
                  <pic:blipFill>
                    <a:blip r:embed="rId8"/>
                    <a:stretch>
                      <a:fillRect/>
                    </a:stretch>
                  </pic:blipFill>
                  <pic:spPr>
                    <a:xfrm>
                      <a:off x="0" y="0"/>
                      <a:ext cx="5425263" cy="2132690"/>
                    </a:xfrm>
                    <a:prstGeom prst="rect">
                      <a:avLst/>
                    </a:prstGeom>
                    <a:ln>
                      <a:solidFill>
                        <a:schemeClr val="tx1"/>
                      </a:solidFill>
                    </a:ln>
                  </pic:spPr>
                </pic:pic>
              </a:graphicData>
            </a:graphic>
          </wp:inline>
        </w:drawing>
      </w:r>
    </w:p>
    <w:p w14:paraId="632F8F6B" w14:textId="77777777" w:rsidR="00425707" w:rsidRPr="00EC63EE" w:rsidRDefault="00E21BB4" w:rsidP="00EE2E54">
      <w:pPr>
        <w:pStyle w:val="Caption"/>
        <w:jc w:val="center"/>
        <w:rPr>
          <w:rFonts w:ascii="Times New Roman" w:hAnsi="Times New Roman" w:cs="Times New Roman"/>
          <w:sz w:val="24"/>
          <w:szCs w:val="24"/>
        </w:rPr>
      </w:pPr>
      <w:r>
        <w:t xml:space="preserve">Figure </w:t>
      </w:r>
      <w:fldSimple w:instr=" SEQ Figure \* ARABIC ">
        <w:r w:rsidR="00BE4ADF">
          <w:rPr>
            <w:noProof/>
          </w:rPr>
          <w:t>2</w:t>
        </w:r>
      </w:fldSimple>
      <w:r>
        <w:t xml:space="preserve"> Company 'P'</w:t>
      </w:r>
      <w:r w:rsidR="00D12540">
        <w:t xml:space="preserve"> Revenue by Region</w:t>
      </w:r>
    </w:p>
    <w:p w14:paraId="329DEC57" w14:textId="77777777" w:rsidR="00EE2E54" w:rsidRPr="00EE2E54" w:rsidRDefault="00E21BB4" w:rsidP="00EE2E54">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 From the comparison above, Company 'P' should meet the average range of sales from the West region recorded from all the companies. Categorically, the insights sh</w:t>
      </w:r>
      <w:r>
        <w:rPr>
          <w:rFonts w:ascii="Times New Roman" w:hAnsi="Times New Roman" w:cs="Times New Roman"/>
          <w:sz w:val="24"/>
          <w:szCs w:val="24"/>
        </w:rPr>
        <w:t>ould serve as a directive towards opportunities or room for improvement within the West region</w:t>
      </w:r>
      <w:r w:rsidR="00D12540">
        <w:rPr>
          <w:rFonts w:ascii="Times New Roman" w:hAnsi="Times New Roman" w:cs="Times New Roman"/>
          <w:sz w:val="24"/>
          <w:szCs w:val="24"/>
        </w:rPr>
        <w:t>, since Company ‘P’ is below the average revenue</w:t>
      </w:r>
      <w:r>
        <w:rPr>
          <w:rFonts w:ascii="Times New Roman" w:hAnsi="Times New Roman" w:cs="Times New Roman"/>
          <w:sz w:val="24"/>
          <w:szCs w:val="24"/>
        </w:rPr>
        <w:t>.</w:t>
      </w:r>
    </w:p>
    <w:p w14:paraId="6F8091BB" w14:textId="77777777" w:rsidR="00505C22" w:rsidRDefault="00E21BB4" w:rsidP="00505C22">
      <w:pPr>
        <w:spacing w:after="0" w:line="480" w:lineRule="auto"/>
        <w:contextualSpacing/>
        <w:jc w:val="center"/>
        <w:rPr>
          <w:rFonts w:ascii="Times New Roman" w:hAnsi="Times New Roman" w:cs="Times New Roman"/>
          <w:b/>
          <w:bCs/>
          <w:sz w:val="24"/>
          <w:szCs w:val="24"/>
        </w:rPr>
      </w:pPr>
      <w:r w:rsidRPr="00505C22">
        <w:rPr>
          <w:rFonts w:ascii="Times New Roman" w:hAnsi="Times New Roman" w:cs="Times New Roman"/>
          <w:b/>
          <w:bCs/>
          <w:sz w:val="24"/>
          <w:szCs w:val="24"/>
        </w:rPr>
        <w:t>Distribution Channel Assessment</w:t>
      </w:r>
    </w:p>
    <w:p w14:paraId="3263A1C1" w14:textId="77777777" w:rsidR="00425707" w:rsidRDefault="00E21BB4" w:rsidP="00425707">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FE3DD6">
        <w:rPr>
          <w:rFonts w:ascii="Times New Roman" w:hAnsi="Times New Roman" w:cs="Times New Roman"/>
          <w:sz w:val="24"/>
          <w:szCs w:val="24"/>
        </w:rPr>
        <w:t>The distribution channel as an entity of assessment was an interesting and important area. The channels do illustrate the immediate feedback on what it is like for sales, revenue and consumer</w:t>
      </w:r>
      <w:r w:rsidR="00BB05A2">
        <w:rPr>
          <w:rFonts w:ascii="Times New Roman" w:hAnsi="Times New Roman" w:cs="Times New Roman"/>
          <w:sz w:val="24"/>
          <w:szCs w:val="24"/>
        </w:rPr>
        <w:t>-related dynamics on the market. Interestingly, 40.45% percent of all the revenue came from grocery stores, 36.39% from hypermarkets and independent stores accounting for 23.14%. To determine areas of strengths and weaknesses of the distribution channel, it was best to incorporate an extra layer assessment based on region. This means one can evaluate the performance of distribution channel per region, rather than the distribution alone.</w:t>
      </w:r>
    </w:p>
    <w:p w14:paraId="33413577" w14:textId="681F0064" w:rsidR="00BB05A2" w:rsidRDefault="00E21BB4" w:rsidP="000924FA">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Unlike the assessment percentages per distribution channels alone, with regions in play, the data was different</w:t>
      </w:r>
      <w:r w:rsidR="006676F9">
        <w:rPr>
          <w:rFonts w:ascii="Times New Roman" w:hAnsi="Times New Roman" w:cs="Times New Roman"/>
          <w:sz w:val="24"/>
          <w:szCs w:val="24"/>
        </w:rPr>
        <w:t>. Hypermarkets topped the list within the South region, followed by grocery stores. The North region had more sales coming from grocery stores, followed by hypermarkets. The West region had grocery stores leading, followed by independent stores.</w:t>
      </w:r>
    </w:p>
    <w:p w14:paraId="67ACF397" w14:textId="77777777" w:rsidR="004C3F4A" w:rsidRPr="004C3F4A" w:rsidRDefault="00E21BB4" w:rsidP="00425707">
      <w:pPr>
        <w:spacing w:after="0" w:line="480" w:lineRule="auto"/>
        <w:contextualSpacing/>
        <w:rPr>
          <w:rFonts w:ascii="Times New Roman" w:hAnsi="Times New Roman" w:cs="Times New Roman"/>
          <w:i/>
          <w:iCs/>
          <w:sz w:val="24"/>
          <w:szCs w:val="24"/>
          <w:u w:val="single"/>
        </w:rPr>
      </w:pPr>
      <w:r w:rsidRPr="004C3F4A">
        <w:rPr>
          <w:rFonts w:ascii="Times New Roman" w:hAnsi="Times New Roman" w:cs="Times New Roman"/>
          <w:i/>
          <w:iCs/>
          <w:sz w:val="24"/>
          <w:szCs w:val="24"/>
          <w:u w:val="single"/>
        </w:rPr>
        <w:lastRenderedPageBreak/>
        <w:t>Revenue by Distribution Channel for Company 'P'</w:t>
      </w:r>
    </w:p>
    <w:p w14:paraId="7109CE21" w14:textId="77777777" w:rsidR="004C3F4A" w:rsidRDefault="00E21BB4" w:rsidP="004C3F4A">
      <w:pPr>
        <w:spacing w:after="0" w:line="480" w:lineRule="auto"/>
        <w:contextualSpacing/>
        <w:jc w:val="center"/>
        <w:rPr>
          <w:rFonts w:ascii="Times New Roman" w:hAnsi="Times New Roman" w:cs="Times New Roman"/>
          <w:sz w:val="24"/>
          <w:szCs w:val="24"/>
        </w:rPr>
      </w:pPr>
      <w:r>
        <w:rPr>
          <w:noProof/>
        </w:rPr>
        <w:drawing>
          <wp:inline distT="0" distB="0" distL="0" distR="0" wp14:anchorId="043508E6" wp14:editId="01A30E3D">
            <wp:extent cx="5176520" cy="2695575"/>
            <wp:effectExtent l="0" t="0" r="5080" b="0"/>
            <wp:docPr id="5" name="Chart 5">
              <a:extLst xmlns:a="http://schemas.openxmlformats.org/drawingml/2006/main">
                <a:ext uri="{FF2B5EF4-FFF2-40B4-BE49-F238E27FC236}">
                  <a16:creationId xmlns:a16="http://schemas.microsoft.com/office/drawing/2014/main" id="{DFBD1F47-C4DF-49ED-80BE-BFF78F221DE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2035C5DF" w14:textId="77777777" w:rsidR="006676F9" w:rsidRPr="006676F9" w:rsidRDefault="00E21BB4" w:rsidP="004C3F4A">
      <w:pPr>
        <w:spacing w:after="0" w:line="480" w:lineRule="auto"/>
        <w:contextualSpacing/>
        <w:rPr>
          <w:rFonts w:ascii="Times New Roman" w:hAnsi="Times New Roman" w:cs="Times New Roman"/>
          <w:i/>
          <w:iCs/>
          <w:sz w:val="24"/>
          <w:szCs w:val="24"/>
          <w:u w:val="single"/>
        </w:rPr>
      </w:pPr>
      <w:r>
        <w:rPr>
          <w:rFonts w:ascii="Times New Roman" w:hAnsi="Times New Roman" w:cs="Times New Roman"/>
          <w:i/>
          <w:iCs/>
          <w:sz w:val="24"/>
          <w:szCs w:val="24"/>
          <w:u w:val="single"/>
        </w:rPr>
        <w:t>Comparing the Revue by Region and Distribut</w:t>
      </w:r>
      <w:r>
        <w:rPr>
          <w:rFonts w:ascii="Times New Roman" w:hAnsi="Times New Roman" w:cs="Times New Roman"/>
          <w:i/>
          <w:iCs/>
          <w:sz w:val="24"/>
          <w:szCs w:val="24"/>
          <w:u w:val="single"/>
        </w:rPr>
        <w:t>ion Channel.</w:t>
      </w:r>
    </w:p>
    <w:p w14:paraId="49F4B57B" w14:textId="77777777" w:rsidR="00BE4ADF" w:rsidRDefault="00E21BB4" w:rsidP="00BE4ADF">
      <w:pPr>
        <w:keepNext/>
        <w:spacing w:after="0" w:line="480" w:lineRule="auto"/>
        <w:contextualSpacing/>
        <w:jc w:val="center"/>
      </w:pPr>
      <w:r>
        <w:rPr>
          <w:noProof/>
        </w:rPr>
        <w:drawing>
          <wp:inline distT="0" distB="0" distL="0" distR="0" wp14:anchorId="6765F3DA" wp14:editId="4D48ED27">
            <wp:extent cx="5724525" cy="2476500"/>
            <wp:effectExtent l="19050" t="19050" r="28575" b="190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7196646" name=""/>
                    <pic:cNvPicPr/>
                  </pic:nvPicPr>
                  <pic:blipFill>
                    <a:blip r:embed="rId10"/>
                    <a:stretch>
                      <a:fillRect/>
                    </a:stretch>
                  </pic:blipFill>
                  <pic:spPr>
                    <a:xfrm>
                      <a:off x="0" y="0"/>
                      <a:ext cx="5724525" cy="2476500"/>
                    </a:xfrm>
                    <a:prstGeom prst="rect">
                      <a:avLst/>
                    </a:prstGeom>
                    <a:ln>
                      <a:solidFill>
                        <a:schemeClr val="tx1"/>
                      </a:solidFill>
                    </a:ln>
                  </pic:spPr>
                </pic:pic>
              </a:graphicData>
            </a:graphic>
          </wp:inline>
        </w:drawing>
      </w:r>
    </w:p>
    <w:p w14:paraId="4BE315BC" w14:textId="77777777" w:rsidR="006676F9" w:rsidRPr="00425707" w:rsidRDefault="00E21BB4" w:rsidP="00BE4ADF">
      <w:pPr>
        <w:pStyle w:val="Caption"/>
        <w:jc w:val="center"/>
        <w:rPr>
          <w:rFonts w:ascii="Times New Roman" w:hAnsi="Times New Roman" w:cs="Times New Roman"/>
          <w:sz w:val="24"/>
          <w:szCs w:val="24"/>
        </w:rPr>
      </w:pPr>
      <w:r>
        <w:t xml:space="preserve">Figure </w:t>
      </w:r>
      <w:r>
        <w:fldChar w:fldCharType="begin"/>
      </w:r>
      <w:r>
        <w:instrText xml:space="preserve"> SEQ Figure \* ARABIC </w:instrText>
      </w:r>
      <w:r>
        <w:fldChar w:fldCharType="separate"/>
      </w:r>
      <w:r>
        <w:rPr>
          <w:noProof/>
        </w:rPr>
        <w:t>3</w:t>
      </w:r>
      <w:r>
        <w:rPr>
          <w:noProof/>
        </w:rPr>
        <w:fldChar w:fldCharType="end"/>
      </w:r>
      <w:r>
        <w:t xml:space="preserve"> Revenue vs Region </w:t>
      </w:r>
      <w:r>
        <w:rPr>
          <w:noProof/>
        </w:rPr>
        <w:t>and Distribution Channel</w:t>
      </w:r>
    </w:p>
    <w:p w14:paraId="61C5B645" w14:textId="77777777" w:rsidR="00BE4ADF" w:rsidRPr="00BE4ADF" w:rsidRDefault="00E21BB4" w:rsidP="00BE4ADF">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 xml:space="preserve">From the summary </w:t>
      </w:r>
      <w:r w:rsidR="00194711">
        <w:rPr>
          <w:rFonts w:ascii="Times New Roman" w:hAnsi="Times New Roman" w:cs="Times New Roman"/>
          <w:sz w:val="24"/>
          <w:szCs w:val="24"/>
        </w:rPr>
        <w:t xml:space="preserve">above, the assessment narrowed to specific areas of improvement. Statistically, hypermarkets from the South Region accounted for 74% above average, meaning the hypermarket sales in the North and West should be looked at, for the revenue to met market expectations. </w:t>
      </w:r>
      <w:r w:rsidR="004C3F4A">
        <w:rPr>
          <w:rFonts w:ascii="Times New Roman" w:hAnsi="Times New Roman" w:cs="Times New Roman"/>
          <w:sz w:val="24"/>
          <w:szCs w:val="24"/>
        </w:rPr>
        <w:t>Independent grocers were also</w:t>
      </w:r>
      <w:r w:rsidR="00194711">
        <w:rPr>
          <w:rFonts w:ascii="Times New Roman" w:hAnsi="Times New Roman" w:cs="Times New Roman"/>
          <w:sz w:val="24"/>
          <w:szCs w:val="24"/>
        </w:rPr>
        <w:t xml:space="preserve"> subjected to have improvements</w:t>
      </w:r>
      <w:r w:rsidR="004C3F4A">
        <w:rPr>
          <w:rFonts w:ascii="Times New Roman" w:hAnsi="Times New Roman" w:cs="Times New Roman"/>
          <w:sz w:val="24"/>
          <w:szCs w:val="24"/>
        </w:rPr>
        <w:t xml:space="preserve"> within the North and South regions. </w:t>
      </w:r>
      <w:r w:rsidR="00194711">
        <w:rPr>
          <w:rFonts w:ascii="Times New Roman" w:hAnsi="Times New Roman" w:cs="Times New Roman"/>
          <w:sz w:val="24"/>
          <w:szCs w:val="24"/>
        </w:rPr>
        <w:t xml:space="preserve"> </w:t>
      </w:r>
    </w:p>
    <w:p w14:paraId="78EE6142" w14:textId="77777777" w:rsidR="00505C22" w:rsidRDefault="00E21BB4" w:rsidP="00505C22">
      <w:pPr>
        <w:spacing w:after="0" w:line="480" w:lineRule="auto"/>
        <w:contextualSpacing/>
        <w:jc w:val="center"/>
        <w:rPr>
          <w:rFonts w:ascii="Times New Roman" w:hAnsi="Times New Roman" w:cs="Times New Roman"/>
          <w:b/>
          <w:bCs/>
          <w:sz w:val="24"/>
          <w:szCs w:val="24"/>
        </w:rPr>
      </w:pPr>
      <w:r w:rsidRPr="00505C22">
        <w:rPr>
          <w:rFonts w:ascii="Times New Roman" w:hAnsi="Times New Roman" w:cs="Times New Roman"/>
          <w:b/>
          <w:bCs/>
          <w:sz w:val="24"/>
          <w:szCs w:val="24"/>
        </w:rPr>
        <w:lastRenderedPageBreak/>
        <w:t>Product Preferences in the Market</w:t>
      </w:r>
    </w:p>
    <w:p w14:paraId="6C162C44" w14:textId="77777777" w:rsidR="00E312C4" w:rsidRDefault="00E21BB4" w:rsidP="00E312C4">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FF13C3">
        <w:rPr>
          <w:rFonts w:ascii="Times New Roman" w:hAnsi="Times New Roman" w:cs="Times New Roman"/>
          <w:sz w:val="24"/>
          <w:szCs w:val="24"/>
        </w:rPr>
        <w:t>The analysis report also focused on the most important element, product. Without products, there is no particular reason to do business or assessments. The assessment was conducted on the performance of each product at the company</w:t>
      </w:r>
      <w:r w:rsidR="0050783C">
        <w:rPr>
          <w:rFonts w:ascii="Times New Roman" w:hAnsi="Times New Roman" w:cs="Times New Roman"/>
          <w:sz w:val="24"/>
          <w:szCs w:val="24"/>
        </w:rPr>
        <w:t xml:space="preserve"> ‘P’</w:t>
      </w:r>
      <w:r w:rsidR="00FF13C3">
        <w:rPr>
          <w:rFonts w:ascii="Times New Roman" w:hAnsi="Times New Roman" w:cs="Times New Roman"/>
          <w:sz w:val="24"/>
          <w:szCs w:val="24"/>
        </w:rPr>
        <w:t xml:space="preserve">, and comparing the deviations from the performance of the </w:t>
      </w:r>
      <w:r w:rsidR="00B23E52">
        <w:rPr>
          <w:rFonts w:ascii="Times New Roman" w:hAnsi="Times New Roman" w:cs="Times New Roman"/>
          <w:sz w:val="24"/>
          <w:szCs w:val="24"/>
        </w:rPr>
        <w:t>immediate</w:t>
      </w:r>
      <w:r w:rsidR="0050783C">
        <w:rPr>
          <w:rFonts w:ascii="Times New Roman" w:hAnsi="Times New Roman" w:cs="Times New Roman"/>
          <w:sz w:val="24"/>
          <w:szCs w:val="24"/>
        </w:rPr>
        <w:t xml:space="preserve"> compan</w:t>
      </w:r>
      <w:r w:rsidR="00B23E52">
        <w:rPr>
          <w:rFonts w:ascii="Times New Roman" w:hAnsi="Times New Roman" w:cs="Times New Roman"/>
          <w:sz w:val="24"/>
          <w:szCs w:val="24"/>
        </w:rPr>
        <w:t>y</w:t>
      </w:r>
      <w:r w:rsidR="0050783C">
        <w:rPr>
          <w:rFonts w:ascii="Times New Roman" w:hAnsi="Times New Roman" w:cs="Times New Roman"/>
          <w:sz w:val="24"/>
          <w:szCs w:val="24"/>
        </w:rPr>
        <w:t xml:space="preserve"> in the market</w:t>
      </w:r>
      <w:r w:rsidR="00D43AF0">
        <w:rPr>
          <w:rFonts w:ascii="Times New Roman" w:hAnsi="Times New Roman" w:cs="Times New Roman"/>
          <w:sz w:val="24"/>
          <w:szCs w:val="24"/>
        </w:rPr>
        <w:t>;</w:t>
      </w:r>
      <w:r w:rsidR="0050783C">
        <w:rPr>
          <w:rFonts w:ascii="Times New Roman" w:hAnsi="Times New Roman" w:cs="Times New Roman"/>
          <w:sz w:val="24"/>
          <w:szCs w:val="24"/>
        </w:rPr>
        <w:t xml:space="preserve"> company </w:t>
      </w:r>
      <w:r w:rsidR="00B23E52">
        <w:rPr>
          <w:rFonts w:ascii="Times New Roman" w:hAnsi="Times New Roman" w:cs="Times New Roman"/>
          <w:sz w:val="24"/>
          <w:szCs w:val="24"/>
        </w:rPr>
        <w:t>‘Q’.</w:t>
      </w:r>
    </w:p>
    <w:tbl>
      <w:tblPr>
        <w:tblStyle w:val="TableGrid"/>
        <w:tblW w:w="9728" w:type="dxa"/>
        <w:tblLook w:val="04A0" w:firstRow="1" w:lastRow="0" w:firstColumn="1" w:lastColumn="0" w:noHBand="0" w:noVBand="1"/>
      </w:tblPr>
      <w:tblGrid>
        <w:gridCol w:w="2757"/>
        <w:gridCol w:w="2402"/>
        <w:gridCol w:w="2443"/>
        <w:gridCol w:w="2126"/>
      </w:tblGrid>
      <w:tr w:rsidR="001F38F5" w14:paraId="4E8C0A0E" w14:textId="77777777" w:rsidTr="00A43894">
        <w:tc>
          <w:tcPr>
            <w:tcW w:w="2757" w:type="dxa"/>
          </w:tcPr>
          <w:p w14:paraId="29AD2052" w14:textId="77777777" w:rsidR="00FF13C3" w:rsidRPr="00266AFE" w:rsidRDefault="00E21BB4" w:rsidP="00E312C4">
            <w:pPr>
              <w:spacing w:line="480" w:lineRule="auto"/>
              <w:contextualSpacing/>
              <w:rPr>
                <w:rFonts w:ascii="Times New Roman" w:hAnsi="Times New Roman" w:cs="Times New Roman"/>
                <w:b/>
                <w:bCs/>
                <w:sz w:val="24"/>
                <w:szCs w:val="24"/>
              </w:rPr>
            </w:pPr>
            <w:r w:rsidRPr="00266AFE">
              <w:rPr>
                <w:rFonts w:ascii="Times New Roman" w:hAnsi="Times New Roman" w:cs="Times New Roman"/>
                <w:b/>
                <w:bCs/>
                <w:sz w:val="24"/>
                <w:szCs w:val="24"/>
              </w:rPr>
              <w:t>Product</w:t>
            </w:r>
          </w:p>
        </w:tc>
        <w:tc>
          <w:tcPr>
            <w:tcW w:w="2402" w:type="dxa"/>
          </w:tcPr>
          <w:p w14:paraId="71BDA7C1" w14:textId="77777777" w:rsidR="00FF13C3" w:rsidRPr="00266AFE" w:rsidRDefault="00E21BB4" w:rsidP="00E312C4">
            <w:pPr>
              <w:spacing w:line="480" w:lineRule="auto"/>
              <w:contextualSpacing/>
              <w:rPr>
                <w:rFonts w:ascii="Times New Roman" w:hAnsi="Times New Roman" w:cs="Times New Roman"/>
                <w:b/>
                <w:bCs/>
                <w:sz w:val="24"/>
                <w:szCs w:val="24"/>
              </w:rPr>
            </w:pPr>
            <w:r w:rsidRPr="00266AFE">
              <w:rPr>
                <w:rFonts w:ascii="Times New Roman" w:hAnsi="Times New Roman" w:cs="Times New Roman"/>
                <w:b/>
                <w:bCs/>
                <w:sz w:val="24"/>
                <w:szCs w:val="24"/>
              </w:rPr>
              <w:t>Company ‘Q’</w:t>
            </w:r>
          </w:p>
        </w:tc>
        <w:tc>
          <w:tcPr>
            <w:tcW w:w="2443" w:type="dxa"/>
          </w:tcPr>
          <w:p w14:paraId="13D97946" w14:textId="77777777" w:rsidR="00FF13C3" w:rsidRPr="00266AFE" w:rsidRDefault="00E21BB4" w:rsidP="00E312C4">
            <w:pPr>
              <w:spacing w:line="480" w:lineRule="auto"/>
              <w:contextualSpacing/>
              <w:rPr>
                <w:rFonts w:ascii="Times New Roman" w:hAnsi="Times New Roman" w:cs="Times New Roman"/>
                <w:b/>
                <w:bCs/>
                <w:sz w:val="24"/>
                <w:szCs w:val="24"/>
              </w:rPr>
            </w:pPr>
            <w:r w:rsidRPr="00266AFE">
              <w:rPr>
                <w:rFonts w:ascii="Times New Roman" w:hAnsi="Times New Roman" w:cs="Times New Roman"/>
                <w:b/>
                <w:bCs/>
                <w:sz w:val="24"/>
                <w:szCs w:val="24"/>
              </w:rPr>
              <w:t>Company ‘P’</w:t>
            </w:r>
          </w:p>
        </w:tc>
        <w:tc>
          <w:tcPr>
            <w:tcW w:w="2126" w:type="dxa"/>
          </w:tcPr>
          <w:p w14:paraId="190E241C" w14:textId="77777777" w:rsidR="00FF13C3" w:rsidRPr="00266AFE" w:rsidRDefault="00E21BB4" w:rsidP="00E312C4">
            <w:pPr>
              <w:spacing w:line="480" w:lineRule="auto"/>
              <w:contextualSpacing/>
              <w:rPr>
                <w:rFonts w:ascii="Times New Roman" w:hAnsi="Times New Roman" w:cs="Times New Roman"/>
                <w:b/>
                <w:bCs/>
                <w:sz w:val="24"/>
                <w:szCs w:val="24"/>
              </w:rPr>
            </w:pPr>
            <w:r w:rsidRPr="00266AFE">
              <w:rPr>
                <w:rFonts w:ascii="Times New Roman" w:hAnsi="Times New Roman" w:cs="Times New Roman"/>
                <w:b/>
                <w:bCs/>
                <w:sz w:val="24"/>
                <w:szCs w:val="24"/>
              </w:rPr>
              <w:t>Deviation</w:t>
            </w:r>
          </w:p>
        </w:tc>
      </w:tr>
      <w:tr w:rsidR="001F38F5" w14:paraId="24973832" w14:textId="77777777" w:rsidTr="00A43894">
        <w:tc>
          <w:tcPr>
            <w:tcW w:w="2757" w:type="dxa"/>
          </w:tcPr>
          <w:p w14:paraId="6D6AAAA7" w14:textId="77777777" w:rsidR="00FF13C3" w:rsidRPr="00266AFE" w:rsidRDefault="00E21BB4" w:rsidP="00E312C4">
            <w:pPr>
              <w:spacing w:line="480" w:lineRule="auto"/>
              <w:contextualSpacing/>
              <w:rPr>
                <w:rFonts w:ascii="Times New Roman" w:hAnsi="Times New Roman" w:cs="Times New Roman"/>
                <w:b/>
                <w:bCs/>
                <w:sz w:val="24"/>
                <w:szCs w:val="24"/>
              </w:rPr>
            </w:pPr>
            <w:r w:rsidRPr="00266AFE">
              <w:rPr>
                <w:rFonts w:ascii="Times New Roman" w:hAnsi="Times New Roman" w:cs="Times New Roman"/>
                <w:b/>
                <w:bCs/>
                <w:sz w:val="24"/>
                <w:szCs w:val="24"/>
              </w:rPr>
              <w:t>500g Nut Muesli</w:t>
            </w:r>
          </w:p>
        </w:tc>
        <w:tc>
          <w:tcPr>
            <w:tcW w:w="2402" w:type="dxa"/>
          </w:tcPr>
          <w:p w14:paraId="3021B444" w14:textId="77777777" w:rsidR="00FF13C3" w:rsidRDefault="00E21BB4" w:rsidP="00E312C4">
            <w:pPr>
              <w:spacing w:line="480" w:lineRule="auto"/>
              <w:contextualSpacing/>
              <w:rPr>
                <w:rFonts w:ascii="Times New Roman" w:hAnsi="Times New Roman" w:cs="Times New Roman"/>
                <w:sz w:val="24"/>
                <w:szCs w:val="24"/>
              </w:rPr>
            </w:pPr>
            <w:r w:rsidRPr="00B23E52">
              <w:rPr>
                <w:rFonts w:ascii="Times New Roman" w:hAnsi="Times New Roman" w:cs="Times New Roman"/>
                <w:sz w:val="24"/>
                <w:szCs w:val="24"/>
              </w:rPr>
              <w:t>18.98%</w:t>
            </w:r>
          </w:p>
        </w:tc>
        <w:tc>
          <w:tcPr>
            <w:tcW w:w="2443" w:type="dxa"/>
          </w:tcPr>
          <w:p w14:paraId="180D6840" w14:textId="77777777" w:rsidR="00FF13C3" w:rsidRDefault="00E21BB4" w:rsidP="00E312C4">
            <w:pPr>
              <w:spacing w:line="480" w:lineRule="auto"/>
              <w:contextualSpacing/>
              <w:rPr>
                <w:rFonts w:ascii="Times New Roman" w:hAnsi="Times New Roman" w:cs="Times New Roman"/>
                <w:sz w:val="24"/>
                <w:szCs w:val="24"/>
              </w:rPr>
            </w:pPr>
            <w:r w:rsidRPr="00B23E52">
              <w:rPr>
                <w:rFonts w:ascii="Times New Roman" w:hAnsi="Times New Roman" w:cs="Times New Roman"/>
                <w:sz w:val="24"/>
                <w:szCs w:val="24"/>
              </w:rPr>
              <w:t>2.69%</w:t>
            </w:r>
          </w:p>
        </w:tc>
        <w:tc>
          <w:tcPr>
            <w:tcW w:w="2126" w:type="dxa"/>
          </w:tcPr>
          <w:p w14:paraId="55652708" w14:textId="77777777" w:rsidR="00FF13C3" w:rsidRPr="00D43AF0" w:rsidRDefault="00E21BB4" w:rsidP="00E312C4">
            <w:pPr>
              <w:spacing w:line="480" w:lineRule="auto"/>
              <w:contextualSpacing/>
              <w:rPr>
                <w:rFonts w:ascii="Times New Roman" w:hAnsi="Times New Roman" w:cs="Times New Roman"/>
                <w:sz w:val="24"/>
                <w:szCs w:val="24"/>
                <w:highlight w:val="green"/>
              </w:rPr>
            </w:pPr>
            <w:r w:rsidRPr="00D43AF0">
              <w:rPr>
                <w:rFonts w:ascii="Times New Roman" w:hAnsi="Times New Roman" w:cs="Times New Roman"/>
                <w:sz w:val="24"/>
                <w:szCs w:val="24"/>
                <w:highlight w:val="red"/>
              </w:rPr>
              <w:t>…..</w:t>
            </w:r>
          </w:p>
        </w:tc>
      </w:tr>
      <w:tr w:rsidR="001F38F5" w14:paraId="5F826644" w14:textId="77777777" w:rsidTr="00A43894">
        <w:tc>
          <w:tcPr>
            <w:tcW w:w="2757" w:type="dxa"/>
          </w:tcPr>
          <w:p w14:paraId="5853AB48" w14:textId="77777777" w:rsidR="00FF13C3" w:rsidRPr="00266AFE" w:rsidRDefault="00E21BB4" w:rsidP="00E312C4">
            <w:pPr>
              <w:spacing w:line="480" w:lineRule="auto"/>
              <w:contextualSpacing/>
              <w:rPr>
                <w:rFonts w:ascii="Times New Roman" w:hAnsi="Times New Roman" w:cs="Times New Roman"/>
                <w:b/>
                <w:bCs/>
                <w:sz w:val="24"/>
                <w:szCs w:val="24"/>
              </w:rPr>
            </w:pPr>
            <w:r w:rsidRPr="00266AFE">
              <w:rPr>
                <w:rFonts w:ascii="Times New Roman" w:hAnsi="Times New Roman" w:cs="Times New Roman"/>
                <w:b/>
                <w:bCs/>
                <w:sz w:val="24"/>
                <w:szCs w:val="24"/>
              </w:rPr>
              <w:t xml:space="preserve">1kg Nut </w:t>
            </w:r>
            <w:r w:rsidRPr="00266AFE">
              <w:rPr>
                <w:rFonts w:ascii="Times New Roman" w:hAnsi="Times New Roman" w:cs="Times New Roman"/>
                <w:b/>
                <w:bCs/>
                <w:sz w:val="24"/>
                <w:szCs w:val="24"/>
              </w:rPr>
              <w:t>Muesli</w:t>
            </w:r>
          </w:p>
        </w:tc>
        <w:tc>
          <w:tcPr>
            <w:tcW w:w="2402" w:type="dxa"/>
          </w:tcPr>
          <w:p w14:paraId="1CDED02F" w14:textId="77777777" w:rsidR="00FF13C3" w:rsidRDefault="00E21BB4" w:rsidP="00E312C4">
            <w:pPr>
              <w:spacing w:line="480" w:lineRule="auto"/>
              <w:contextualSpacing/>
              <w:rPr>
                <w:rFonts w:ascii="Times New Roman" w:hAnsi="Times New Roman" w:cs="Times New Roman"/>
                <w:sz w:val="24"/>
                <w:szCs w:val="24"/>
              </w:rPr>
            </w:pPr>
            <w:r w:rsidRPr="00B23E52">
              <w:rPr>
                <w:rFonts w:ascii="Times New Roman" w:hAnsi="Times New Roman" w:cs="Times New Roman"/>
                <w:sz w:val="24"/>
                <w:szCs w:val="24"/>
              </w:rPr>
              <w:t>13.60%</w:t>
            </w:r>
          </w:p>
        </w:tc>
        <w:tc>
          <w:tcPr>
            <w:tcW w:w="2443" w:type="dxa"/>
          </w:tcPr>
          <w:p w14:paraId="2AE56B8C" w14:textId="77777777" w:rsidR="00FF13C3" w:rsidRDefault="00E21BB4" w:rsidP="00E312C4">
            <w:pPr>
              <w:spacing w:line="480" w:lineRule="auto"/>
              <w:contextualSpacing/>
              <w:rPr>
                <w:rFonts w:ascii="Times New Roman" w:hAnsi="Times New Roman" w:cs="Times New Roman"/>
                <w:sz w:val="24"/>
                <w:szCs w:val="24"/>
              </w:rPr>
            </w:pPr>
            <w:r w:rsidRPr="00B23E52">
              <w:rPr>
                <w:rFonts w:ascii="Times New Roman" w:hAnsi="Times New Roman" w:cs="Times New Roman"/>
                <w:sz w:val="24"/>
                <w:szCs w:val="24"/>
              </w:rPr>
              <w:t>25.81%</w:t>
            </w:r>
          </w:p>
        </w:tc>
        <w:tc>
          <w:tcPr>
            <w:tcW w:w="2126" w:type="dxa"/>
          </w:tcPr>
          <w:p w14:paraId="3E5BB6D9" w14:textId="77777777" w:rsidR="00FF13C3" w:rsidRDefault="00E21BB4" w:rsidP="00E312C4">
            <w:pPr>
              <w:spacing w:line="480" w:lineRule="auto"/>
              <w:contextualSpacing/>
              <w:rPr>
                <w:rFonts w:ascii="Times New Roman" w:hAnsi="Times New Roman" w:cs="Times New Roman"/>
                <w:sz w:val="24"/>
                <w:szCs w:val="24"/>
              </w:rPr>
            </w:pPr>
            <w:r w:rsidRPr="00D43AF0">
              <w:rPr>
                <w:rFonts w:ascii="Times New Roman" w:hAnsi="Times New Roman" w:cs="Times New Roman"/>
                <w:sz w:val="24"/>
                <w:szCs w:val="24"/>
                <w:highlight w:val="green"/>
              </w:rPr>
              <w:t>….</w:t>
            </w:r>
          </w:p>
        </w:tc>
      </w:tr>
      <w:tr w:rsidR="001F38F5" w14:paraId="762F8B36" w14:textId="77777777" w:rsidTr="00A43894">
        <w:tc>
          <w:tcPr>
            <w:tcW w:w="2757" w:type="dxa"/>
          </w:tcPr>
          <w:p w14:paraId="289A2AD4" w14:textId="77777777" w:rsidR="00FF13C3" w:rsidRPr="00266AFE" w:rsidRDefault="00E21BB4" w:rsidP="00E312C4">
            <w:pPr>
              <w:spacing w:line="480" w:lineRule="auto"/>
              <w:contextualSpacing/>
              <w:rPr>
                <w:rFonts w:ascii="Times New Roman" w:hAnsi="Times New Roman" w:cs="Times New Roman"/>
                <w:b/>
                <w:bCs/>
                <w:sz w:val="24"/>
                <w:szCs w:val="24"/>
              </w:rPr>
            </w:pPr>
            <w:r w:rsidRPr="00266AFE">
              <w:rPr>
                <w:rFonts w:ascii="Times New Roman" w:hAnsi="Times New Roman" w:cs="Times New Roman"/>
                <w:b/>
                <w:bCs/>
                <w:sz w:val="24"/>
                <w:szCs w:val="24"/>
              </w:rPr>
              <w:t>500g Original Muesli</w:t>
            </w:r>
          </w:p>
        </w:tc>
        <w:tc>
          <w:tcPr>
            <w:tcW w:w="2402" w:type="dxa"/>
          </w:tcPr>
          <w:p w14:paraId="3D69BE9D" w14:textId="77777777" w:rsidR="00FF13C3" w:rsidRDefault="00E21BB4" w:rsidP="00E312C4">
            <w:pPr>
              <w:spacing w:line="480" w:lineRule="auto"/>
              <w:contextualSpacing/>
              <w:rPr>
                <w:rFonts w:ascii="Times New Roman" w:hAnsi="Times New Roman" w:cs="Times New Roman"/>
                <w:sz w:val="24"/>
                <w:szCs w:val="24"/>
              </w:rPr>
            </w:pPr>
            <w:r w:rsidRPr="00B23E52">
              <w:rPr>
                <w:rFonts w:ascii="Times New Roman" w:hAnsi="Times New Roman" w:cs="Times New Roman"/>
                <w:sz w:val="24"/>
                <w:szCs w:val="24"/>
              </w:rPr>
              <w:t>12.82%</w:t>
            </w:r>
          </w:p>
        </w:tc>
        <w:tc>
          <w:tcPr>
            <w:tcW w:w="2443" w:type="dxa"/>
          </w:tcPr>
          <w:p w14:paraId="1CC25E56" w14:textId="77777777" w:rsidR="00FF13C3" w:rsidRDefault="00E21BB4" w:rsidP="00E312C4">
            <w:pPr>
              <w:spacing w:line="480" w:lineRule="auto"/>
              <w:contextualSpacing/>
              <w:rPr>
                <w:rFonts w:ascii="Times New Roman" w:hAnsi="Times New Roman" w:cs="Times New Roman"/>
                <w:sz w:val="24"/>
                <w:szCs w:val="24"/>
              </w:rPr>
            </w:pPr>
            <w:r>
              <w:rPr>
                <w:rFonts w:ascii="Times New Roman" w:hAnsi="Times New Roman" w:cs="Times New Roman"/>
                <w:sz w:val="24"/>
                <w:szCs w:val="24"/>
              </w:rPr>
              <w:t>N/A</w:t>
            </w:r>
          </w:p>
        </w:tc>
        <w:tc>
          <w:tcPr>
            <w:tcW w:w="2126" w:type="dxa"/>
          </w:tcPr>
          <w:p w14:paraId="67A9BFCA" w14:textId="77777777" w:rsidR="00FF13C3" w:rsidRPr="00D43AF0" w:rsidRDefault="00E21BB4" w:rsidP="00E312C4">
            <w:pPr>
              <w:spacing w:line="480" w:lineRule="auto"/>
              <w:contextualSpacing/>
              <w:rPr>
                <w:rFonts w:ascii="Times New Roman" w:hAnsi="Times New Roman" w:cs="Times New Roman"/>
                <w:sz w:val="24"/>
                <w:szCs w:val="24"/>
              </w:rPr>
            </w:pPr>
            <w:r w:rsidRPr="00D43AF0">
              <w:rPr>
                <w:rFonts w:ascii="Times New Roman" w:hAnsi="Times New Roman" w:cs="Times New Roman"/>
                <w:sz w:val="24"/>
                <w:szCs w:val="24"/>
                <w:highlight w:val="red"/>
              </w:rPr>
              <w:t>…..</w:t>
            </w:r>
          </w:p>
        </w:tc>
      </w:tr>
      <w:tr w:rsidR="001F38F5" w14:paraId="1D3F5CF4" w14:textId="77777777" w:rsidTr="00A43894">
        <w:tc>
          <w:tcPr>
            <w:tcW w:w="2757" w:type="dxa"/>
          </w:tcPr>
          <w:p w14:paraId="18FC86DD" w14:textId="77777777" w:rsidR="00FF13C3" w:rsidRPr="00266AFE" w:rsidRDefault="00E21BB4" w:rsidP="00E312C4">
            <w:pPr>
              <w:spacing w:line="480" w:lineRule="auto"/>
              <w:contextualSpacing/>
              <w:rPr>
                <w:rFonts w:ascii="Times New Roman" w:hAnsi="Times New Roman" w:cs="Times New Roman"/>
                <w:b/>
                <w:bCs/>
                <w:sz w:val="24"/>
                <w:szCs w:val="24"/>
              </w:rPr>
            </w:pPr>
            <w:r w:rsidRPr="00266AFE">
              <w:rPr>
                <w:rFonts w:ascii="Times New Roman" w:hAnsi="Times New Roman" w:cs="Times New Roman"/>
                <w:b/>
                <w:bCs/>
                <w:sz w:val="24"/>
                <w:szCs w:val="24"/>
              </w:rPr>
              <w:t>1kg Original Muesli</w:t>
            </w:r>
          </w:p>
        </w:tc>
        <w:tc>
          <w:tcPr>
            <w:tcW w:w="2402" w:type="dxa"/>
          </w:tcPr>
          <w:p w14:paraId="2ACE83A9" w14:textId="77777777" w:rsidR="00FF13C3" w:rsidRDefault="00E21BB4" w:rsidP="00E312C4">
            <w:pPr>
              <w:spacing w:line="480" w:lineRule="auto"/>
              <w:contextualSpacing/>
              <w:rPr>
                <w:rFonts w:ascii="Times New Roman" w:hAnsi="Times New Roman" w:cs="Times New Roman"/>
                <w:sz w:val="24"/>
                <w:szCs w:val="24"/>
              </w:rPr>
            </w:pPr>
            <w:r w:rsidRPr="00B23E52">
              <w:rPr>
                <w:rFonts w:ascii="Times New Roman" w:hAnsi="Times New Roman" w:cs="Times New Roman"/>
                <w:sz w:val="24"/>
                <w:szCs w:val="24"/>
              </w:rPr>
              <w:t>29.98%</w:t>
            </w:r>
          </w:p>
        </w:tc>
        <w:tc>
          <w:tcPr>
            <w:tcW w:w="2443" w:type="dxa"/>
          </w:tcPr>
          <w:p w14:paraId="4F9DA6C9" w14:textId="77777777" w:rsidR="00FF13C3" w:rsidRDefault="00E21BB4" w:rsidP="00E312C4">
            <w:pPr>
              <w:spacing w:line="480" w:lineRule="auto"/>
              <w:contextualSpacing/>
              <w:rPr>
                <w:rFonts w:ascii="Times New Roman" w:hAnsi="Times New Roman" w:cs="Times New Roman"/>
                <w:sz w:val="24"/>
                <w:szCs w:val="24"/>
              </w:rPr>
            </w:pPr>
            <w:r w:rsidRPr="00D43AF0">
              <w:rPr>
                <w:rFonts w:ascii="Times New Roman" w:hAnsi="Times New Roman" w:cs="Times New Roman"/>
                <w:sz w:val="24"/>
                <w:szCs w:val="24"/>
              </w:rPr>
              <w:t>19.32%</w:t>
            </w:r>
          </w:p>
        </w:tc>
        <w:tc>
          <w:tcPr>
            <w:tcW w:w="2126" w:type="dxa"/>
          </w:tcPr>
          <w:p w14:paraId="6E14564B" w14:textId="77777777" w:rsidR="00FF13C3" w:rsidRDefault="00E21BB4" w:rsidP="00E312C4">
            <w:pPr>
              <w:spacing w:line="480" w:lineRule="auto"/>
              <w:contextualSpacing/>
              <w:rPr>
                <w:rFonts w:ascii="Times New Roman" w:hAnsi="Times New Roman" w:cs="Times New Roman"/>
                <w:sz w:val="24"/>
                <w:szCs w:val="24"/>
              </w:rPr>
            </w:pPr>
            <w:r w:rsidRPr="00D43AF0">
              <w:rPr>
                <w:rFonts w:ascii="Times New Roman" w:hAnsi="Times New Roman" w:cs="Times New Roman"/>
                <w:sz w:val="24"/>
                <w:szCs w:val="24"/>
                <w:highlight w:val="red"/>
              </w:rPr>
              <w:t>….</w:t>
            </w:r>
          </w:p>
        </w:tc>
      </w:tr>
      <w:tr w:rsidR="001F38F5" w14:paraId="105F538D" w14:textId="77777777" w:rsidTr="00A43894">
        <w:tc>
          <w:tcPr>
            <w:tcW w:w="2757" w:type="dxa"/>
          </w:tcPr>
          <w:p w14:paraId="22DDD116" w14:textId="77777777" w:rsidR="00FF13C3" w:rsidRPr="00266AFE" w:rsidRDefault="00E21BB4" w:rsidP="00E312C4">
            <w:pPr>
              <w:spacing w:line="480" w:lineRule="auto"/>
              <w:contextualSpacing/>
              <w:rPr>
                <w:rFonts w:ascii="Times New Roman" w:hAnsi="Times New Roman" w:cs="Times New Roman"/>
                <w:b/>
                <w:bCs/>
                <w:sz w:val="24"/>
                <w:szCs w:val="24"/>
              </w:rPr>
            </w:pPr>
            <w:r w:rsidRPr="00266AFE">
              <w:rPr>
                <w:rFonts w:ascii="Times New Roman" w:hAnsi="Times New Roman" w:cs="Times New Roman"/>
                <w:b/>
                <w:bCs/>
                <w:sz w:val="24"/>
                <w:szCs w:val="24"/>
              </w:rPr>
              <w:t>500g Raisin Muesli</w:t>
            </w:r>
          </w:p>
        </w:tc>
        <w:tc>
          <w:tcPr>
            <w:tcW w:w="2402" w:type="dxa"/>
          </w:tcPr>
          <w:p w14:paraId="32AB07AB" w14:textId="77777777" w:rsidR="00FF13C3" w:rsidRDefault="00E21BB4" w:rsidP="00E312C4">
            <w:pPr>
              <w:spacing w:line="480" w:lineRule="auto"/>
              <w:contextualSpacing/>
              <w:rPr>
                <w:rFonts w:ascii="Times New Roman" w:hAnsi="Times New Roman" w:cs="Times New Roman"/>
                <w:sz w:val="24"/>
                <w:szCs w:val="24"/>
              </w:rPr>
            </w:pPr>
            <w:r w:rsidRPr="00B23E52">
              <w:rPr>
                <w:rFonts w:ascii="Times New Roman" w:hAnsi="Times New Roman" w:cs="Times New Roman"/>
                <w:sz w:val="24"/>
                <w:szCs w:val="24"/>
              </w:rPr>
              <w:t>3.13%</w:t>
            </w:r>
          </w:p>
        </w:tc>
        <w:tc>
          <w:tcPr>
            <w:tcW w:w="2443" w:type="dxa"/>
          </w:tcPr>
          <w:p w14:paraId="6651FA51" w14:textId="77777777" w:rsidR="00FF13C3" w:rsidRDefault="00E21BB4" w:rsidP="00E312C4">
            <w:pPr>
              <w:spacing w:line="480" w:lineRule="auto"/>
              <w:contextualSpacing/>
              <w:rPr>
                <w:rFonts w:ascii="Times New Roman" w:hAnsi="Times New Roman" w:cs="Times New Roman"/>
                <w:sz w:val="24"/>
                <w:szCs w:val="24"/>
              </w:rPr>
            </w:pPr>
            <w:r>
              <w:rPr>
                <w:rFonts w:ascii="Times New Roman" w:hAnsi="Times New Roman" w:cs="Times New Roman"/>
                <w:sz w:val="24"/>
                <w:szCs w:val="24"/>
              </w:rPr>
              <w:t>N/A</w:t>
            </w:r>
          </w:p>
        </w:tc>
        <w:tc>
          <w:tcPr>
            <w:tcW w:w="2126" w:type="dxa"/>
          </w:tcPr>
          <w:p w14:paraId="71FCF567" w14:textId="77777777" w:rsidR="00FF13C3" w:rsidRDefault="00E21BB4" w:rsidP="00E312C4">
            <w:pPr>
              <w:spacing w:line="480" w:lineRule="auto"/>
              <w:contextualSpacing/>
              <w:rPr>
                <w:rFonts w:ascii="Times New Roman" w:hAnsi="Times New Roman" w:cs="Times New Roman"/>
                <w:sz w:val="24"/>
                <w:szCs w:val="24"/>
              </w:rPr>
            </w:pPr>
            <w:r w:rsidRPr="00D43AF0">
              <w:rPr>
                <w:rFonts w:ascii="Times New Roman" w:hAnsi="Times New Roman" w:cs="Times New Roman"/>
                <w:sz w:val="24"/>
                <w:szCs w:val="24"/>
                <w:highlight w:val="red"/>
              </w:rPr>
              <w:t>…..</w:t>
            </w:r>
          </w:p>
        </w:tc>
      </w:tr>
      <w:tr w:rsidR="001F38F5" w14:paraId="53216BDF" w14:textId="77777777" w:rsidTr="00A43894">
        <w:tc>
          <w:tcPr>
            <w:tcW w:w="2757" w:type="dxa"/>
          </w:tcPr>
          <w:p w14:paraId="341507B0" w14:textId="77777777" w:rsidR="00FF13C3" w:rsidRPr="00266AFE" w:rsidRDefault="00E21BB4" w:rsidP="00E312C4">
            <w:pPr>
              <w:spacing w:line="480" w:lineRule="auto"/>
              <w:contextualSpacing/>
              <w:rPr>
                <w:rFonts w:ascii="Times New Roman" w:hAnsi="Times New Roman" w:cs="Times New Roman"/>
                <w:b/>
                <w:bCs/>
                <w:sz w:val="24"/>
                <w:szCs w:val="24"/>
              </w:rPr>
            </w:pPr>
            <w:r w:rsidRPr="00266AFE">
              <w:rPr>
                <w:rFonts w:ascii="Times New Roman" w:hAnsi="Times New Roman" w:cs="Times New Roman"/>
                <w:b/>
                <w:bCs/>
                <w:sz w:val="24"/>
                <w:szCs w:val="24"/>
              </w:rPr>
              <w:t>1kg Raisin Muesli</w:t>
            </w:r>
          </w:p>
        </w:tc>
        <w:tc>
          <w:tcPr>
            <w:tcW w:w="2402" w:type="dxa"/>
          </w:tcPr>
          <w:p w14:paraId="25D4BF02" w14:textId="77777777" w:rsidR="00FF13C3" w:rsidRDefault="00E21BB4" w:rsidP="00E312C4">
            <w:pPr>
              <w:spacing w:line="480" w:lineRule="auto"/>
              <w:contextualSpacing/>
              <w:rPr>
                <w:rFonts w:ascii="Times New Roman" w:hAnsi="Times New Roman" w:cs="Times New Roman"/>
                <w:sz w:val="24"/>
                <w:szCs w:val="24"/>
              </w:rPr>
            </w:pPr>
            <w:r w:rsidRPr="00B23E52">
              <w:rPr>
                <w:rFonts w:ascii="Times New Roman" w:hAnsi="Times New Roman" w:cs="Times New Roman"/>
                <w:sz w:val="24"/>
                <w:szCs w:val="24"/>
              </w:rPr>
              <w:t>4.29%</w:t>
            </w:r>
          </w:p>
        </w:tc>
        <w:tc>
          <w:tcPr>
            <w:tcW w:w="2443" w:type="dxa"/>
          </w:tcPr>
          <w:p w14:paraId="6DB081EC" w14:textId="77777777" w:rsidR="00FF13C3" w:rsidRDefault="00E21BB4" w:rsidP="00E312C4">
            <w:pPr>
              <w:spacing w:line="480" w:lineRule="auto"/>
              <w:contextualSpacing/>
              <w:rPr>
                <w:rFonts w:ascii="Times New Roman" w:hAnsi="Times New Roman" w:cs="Times New Roman"/>
                <w:sz w:val="24"/>
                <w:szCs w:val="24"/>
              </w:rPr>
            </w:pPr>
            <w:r w:rsidRPr="00D43AF0">
              <w:rPr>
                <w:rFonts w:ascii="Times New Roman" w:hAnsi="Times New Roman" w:cs="Times New Roman"/>
                <w:sz w:val="24"/>
                <w:szCs w:val="24"/>
              </w:rPr>
              <w:t>21.01%</w:t>
            </w:r>
          </w:p>
        </w:tc>
        <w:tc>
          <w:tcPr>
            <w:tcW w:w="2126" w:type="dxa"/>
          </w:tcPr>
          <w:p w14:paraId="27751E8A" w14:textId="77777777" w:rsidR="00FF13C3" w:rsidRDefault="00E21BB4" w:rsidP="00E312C4">
            <w:pPr>
              <w:spacing w:line="480" w:lineRule="auto"/>
              <w:contextualSpacing/>
              <w:rPr>
                <w:rFonts w:ascii="Times New Roman" w:hAnsi="Times New Roman" w:cs="Times New Roman"/>
                <w:sz w:val="24"/>
                <w:szCs w:val="24"/>
              </w:rPr>
            </w:pPr>
            <w:r w:rsidRPr="00D43AF0">
              <w:rPr>
                <w:rFonts w:ascii="Times New Roman" w:hAnsi="Times New Roman" w:cs="Times New Roman"/>
                <w:sz w:val="24"/>
                <w:szCs w:val="24"/>
                <w:highlight w:val="green"/>
              </w:rPr>
              <w:t>….</w:t>
            </w:r>
          </w:p>
        </w:tc>
      </w:tr>
      <w:tr w:rsidR="001F38F5" w14:paraId="6D204F24" w14:textId="77777777" w:rsidTr="00A43894">
        <w:tc>
          <w:tcPr>
            <w:tcW w:w="2757" w:type="dxa"/>
          </w:tcPr>
          <w:p w14:paraId="44343EC0" w14:textId="77777777" w:rsidR="00A43894" w:rsidRPr="00266AFE" w:rsidRDefault="00E21BB4" w:rsidP="00E312C4">
            <w:pPr>
              <w:spacing w:line="480" w:lineRule="auto"/>
              <w:contextualSpacing/>
              <w:rPr>
                <w:rFonts w:ascii="Times New Roman" w:hAnsi="Times New Roman" w:cs="Times New Roman"/>
                <w:b/>
                <w:bCs/>
                <w:sz w:val="24"/>
                <w:szCs w:val="24"/>
              </w:rPr>
            </w:pPr>
            <w:r w:rsidRPr="00266AFE">
              <w:rPr>
                <w:rFonts w:ascii="Times New Roman" w:hAnsi="Times New Roman" w:cs="Times New Roman"/>
                <w:b/>
                <w:bCs/>
                <w:sz w:val="24"/>
                <w:szCs w:val="24"/>
              </w:rPr>
              <w:t>500g Blueberry Muesli</w:t>
            </w:r>
          </w:p>
        </w:tc>
        <w:tc>
          <w:tcPr>
            <w:tcW w:w="2402" w:type="dxa"/>
          </w:tcPr>
          <w:p w14:paraId="23582571" w14:textId="77777777" w:rsidR="00A43894" w:rsidRDefault="00E21BB4" w:rsidP="00E312C4">
            <w:pPr>
              <w:spacing w:line="480" w:lineRule="auto"/>
              <w:contextualSpacing/>
              <w:rPr>
                <w:rFonts w:ascii="Times New Roman" w:hAnsi="Times New Roman" w:cs="Times New Roman"/>
                <w:sz w:val="24"/>
                <w:szCs w:val="24"/>
              </w:rPr>
            </w:pPr>
            <w:r>
              <w:rPr>
                <w:rFonts w:ascii="Times New Roman" w:hAnsi="Times New Roman" w:cs="Times New Roman"/>
                <w:sz w:val="24"/>
                <w:szCs w:val="24"/>
              </w:rPr>
              <w:t>N/A</w:t>
            </w:r>
          </w:p>
        </w:tc>
        <w:tc>
          <w:tcPr>
            <w:tcW w:w="2443" w:type="dxa"/>
          </w:tcPr>
          <w:p w14:paraId="07A123CA" w14:textId="77777777" w:rsidR="00A43894" w:rsidRDefault="00E21BB4" w:rsidP="00E312C4">
            <w:pPr>
              <w:spacing w:line="480" w:lineRule="auto"/>
              <w:contextualSpacing/>
              <w:rPr>
                <w:rFonts w:ascii="Times New Roman" w:hAnsi="Times New Roman" w:cs="Times New Roman"/>
                <w:sz w:val="24"/>
                <w:szCs w:val="24"/>
              </w:rPr>
            </w:pPr>
            <w:r w:rsidRPr="00D43AF0">
              <w:rPr>
                <w:rFonts w:ascii="Times New Roman" w:hAnsi="Times New Roman" w:cs="Times New Roman"/>
                <w:sz w:val="24"/>
                <w:szCs w:val="24"/>
              </w:rPr>
              <w:t>13.54%</w:t>
            </w:r>
          </w:p>
        </w:tc>
        <w:tc>
          <w:tcPr>
            <w:tcW w:w="2126" w:type="dxa"/>
          </w:tcPr>
          <w:p w14:paraId="4BE6B7A7" w14:textId="77777777" w:rsidR="00A43894" w:rsidRDefault="00E21BB4" w:rsidP="00E312C4">
            <w:pPr>
              <w:spacing w:line="480" w:lineRule="auto"/>
              <w:contextualSpacing/>
              <w:rPr>
                <w:rFonts w:ascii="Times New Roman" w:hAnsi="Times New Roman" w:cs="Times New Roman"/>
                <w:sz w:val="24"/>
                <w:szCs w:val="24"/>
              </w:rPr>
            </w:pPr>
            <w:r w:rsidRPr="00D43AF0">
              <w:rPr>
                <w:rFonts w:ascii="Times New Roman" w:hAnsi="Times New Roman" w:cs="Times New Roman"/>
                <w:sz w:val="24"/>
                <w:szCs w:val="24"/>
                <w:highlight w:val="green"/>
              </w:rPr>
              <w:t>…..</w:t>
            </w:r>
          </w:p>
        </w:tc>
      </w:tr>
      <w:tr w:rsidR="001F38F5" w14:paraId="354354FF" w14:textId="77777777" w:rsidTr="00A43894">
        <w:tc>
          <w:tcPr>
            <w:tcW w:w="2757" w:type="dxa"/>
          </w:tcPr>
          <w:p w14:paraId="0B89113E" w14:textId="77777777" w:rsidR="00A43894" w:rsidRPr="00266AFE" w:rsidRDefault="00E21BB4" w:rsidP="00E312C4">
            <w:pPr>
              <w:spacing w:line="480" w:lineRule="auto"/>
              <w:contextualSpacing/>
              <w:rPr>
                <w:rFonts w:ascii="Times New Roman" w:hAnsi="Times New Roman" w:cs="Times New Roman"/>
                <w:b/>
                <w:bCs/>
                <w:sz w:val="24"/>
                <w:szCs w:val="24"/>
              </w:rPr>
            </w:pPr>
            <w:r w:rsidRPr="00266AFE">
              <w:rPr>
                <w:rFonts w:ascii="Times New Roman" w:hAnsi="Times New Roman" w:cs="Times New Roman"/>
                <w:b/>
                <w:bCs/>
                <w:sz w:val="24"/>
                <w:szCs w:val="24"/>
              </w:rPr>
              <w:t>1kg Blueberry Muesli</w:t>
            </w:r>
          </w:p>
        </w:tc>
        <w:tc>
          <w:tcPr>
            <w:tcW w:w="2402" w:type="dxa"/>
          </w:tcPr>
          <w:p w14:paraId="24672010" w14:textId="77777777" w:rsidR="00A43894" w:rsidRDefault="00E21BB4" w:rsidP="00E312C4">
            <w:pPr>
              <w:spacing w:line="480" w:lineRule="auto"/>
              <w:contextualSpacing/>
              <w:rPr>
                <w:rFonts w:ascii="Times New Roman" w:hAnsi="Times New Roman" w:cs="Times New Roman"/>
                <w:sz w:val="24"/>
                <w:szCs w:val="24"/>
              </w:rPr>
            </w:pPr>
            <w:r w:rsidRPr="00B23E52">
              <w:rPr>
                <w:rFonts w:ascii="Times New Roman" w:hAnsi="Times New Roman" w:cs="Times New Roman"/>
                <w:sz w:val="24"/>
                <w:szCs w:val="24"/>
              </w:rPr>
              <w:t>0.78%</w:t>
            </w:r>
          </w:p>
        </w:tc>
        <w:tc>
          <w:tcPr>
            <w:tcW w:w="2443" w:type="dxa"/>
          </w:tcPr>
          <w:p w14:paraId="2345C38E" w14:textId="77777777" w:rsidR="00A43894" w:rsidRDefault="00E21BB4" w:rsidP="00E312C4">
            <w:pPr>
              <w:spacing w:line="480" w:lineRule="auto"/>
              <w:contextualSpacing/>
              <w:rPr>
                <w:rFonts w:ascii="Times New Roman" w:hAnsi="Times New Roman" w:cs="Times New Roman"/>
                <w:sz w:val="24"/>
                <w:szCs w:val="24"/>
              </w:rPr>
            </w:pPr>
            <w:r>
              <w:rPr>
                <w:rFonts w:ascii="Times New Roman" w:hAnsi="Times New Roman" w:cs="Times New Roman"/>
                <w:sz w:val="24"/>
                <w:szCs w:val="24"/>
              </w:rPr>
              <w:t>N/A</w:t>
            </w:r>
          </w:p>
        </w:tc>
        <w:tc>
          <w:tcPr>
            <w:tcW w:w="2126" w:type="dxa"/>
          </w:tcPr>
          <w:p w14:paraId="466BEBD6" w14:textId="77777777" w:rsidR="00A43894" w:rsidRDefault="00E21BB4" w:rsidP="00E312C4">
            <w:pPr>
              <w:spacing w:line="480" w:lineRule="auto"/>
              <w:contextualSpacing/>
              <w:rPr>
                <w:rFonts w:ascii="Times New Roman" w:hAnsi="Times New Roman" w:cs="Times New Roman"/>
                <w:sz w:val="24"/>
                <w:szCs w:val="24"/>
              </w:rPr>
            </w:pPr>
            <w:r w:rsidRPr="00D43AF0">
              <w:rPr>
                <w:rFonts w:ascii="Times New Roman" w:hAnsi="Times New Roman" w:cs="Times New Roman"/>
                <w:sz w:val="24"/>
                <w:szCs w:val="24"/>
                <w:highlight w:val="red"/>
              </w:rPr>
              <w:t>….</w:t>
            </w:r>
          </w:p>
        </w:tc>
      </w:tr>
      <w:tr w:rsidR="001F38F5" w14:paraId="6D39C0F0" w14:textId="77777777" w:rsidTr="00A43894">
        <w:tc>
          <w:tcPr>
            <w:tcW w:w="2757" w:type="dxa"/>
          </w:tcPr>
          <w:p w14:paraId="732095D2" w14:textId="77777777" w:rsidR="00A43894" w:rsidRPr="00266AFE" w:rsidRDefault="00E21BB4" w:rsidP="00E312C4">
            <w:pPr>
              <w:spacing w:line="480" w:lineRule="auto"/>
              <w:contextualSpacing/>
              <w:rPr>
                <w:rFonts w:ascii="Times New Roman" w:hAnsi="Times New Roman" w:cs="Times New Roman"/>
                <w:b/>
                <w:bCs/>
                <w:sz w:val="24"/>
                <w:szCs w:val="24"/>
              </w:rPr>
            </w:pPr>
            <w:r w:rsidRPr="00266AFE">
              <w:rPr>
                <w:rFonts w:ascii="Times New Roman" w:hAnsi="Times New Roman" w:cs="Times New Roman"/>
                <w:b/>
                <w:bCs/>
                <w:sz w:val="24"/>
                <w:szCs w:val="24"/>
              </w:rPr>
              <w:t xml:space="preserve">500g </w:t>
            </w:r>
            <w:r w:rsidRPr="00266AFE">
              <w:rPr>
                <w:rFonts w:ascii="Times New Roman" w:hAnsi="Times New Roman" w:cs="Times New Roman"/>
                <w:b/>
                <w:bCs/>
                <w:sz w:val="24"/>
                <w:szCs w:val="24"/>
              </w:rPr>
              <w:t>Strawberry Muesli</w:t>
            </w:r>
          </w:p>
        </w:tc>
        <w:tc>
          <w:tcPr>
            <w:tcW w:w="2402" w:type="dxa"/>
          </w:tcPr>
          <w:p w14:paraId="44209BAA" w14:textId="77777777" w:rsidR="00A43894" w:rsidRDefault="00E21BB4" w:rsidP="00E312C4">
            <w:pPr>
              <w:spacing w:line="480" w:lineRule="auto"/>
              <w:contextualSpacing/>
              <w:rPr>
                <w:rFonts w:ascii="Times New Roman" w:hAnsi="Times New Roman" w:cs="Times New Roman"/>
                <w:sz w:val="24"/>
                <w:szCs w:val="24"/>
              </w:rPr>
            </w:pPr>
            <w:r w:rsidRPr="00B23E52">
              <w:rPr>
                <w:rFonts w:ascii="Times New Roman" w:hAnsi="Times New Roman" w:cs="Times New Roman"/>
                <w:sz w:val="24"/>
                <w:szCs w:val="24"/>
              </w:rPr>
              <w:t>0.71%</w:t>
            </w:r>
          </w:p>
        </w:tc>
        <w:tc>
          <w:tcPr>
            <w:tcW w:w="2443" w:type="dxa"/>
          </w:tcPr>
          <w:p w14:paraId="3200A4B2" w14:textId="77777777" w:rsidR="00A43894" w:rsidRDefault="00E21BB4" w:rsidP="00E312C4">
            <w:pPr>
              <w:spacing w:line="480" w:lineRule="auto"/>
              <w:contextualSpacing/>
              <w:rPr>
                <w:rFonts w:ascii="Times New Roman" w:hAnsi="Times New Roman" w:cs="Times New Roman"/>
                <w:sz w:val="24"/>
                <w:szCs w:val="24"/>
              </w:rPr>
            </w:pPr>
            <w:r w:rsidRPr="00D43AF0">
              <w:rPr>
                <w:rFonts w:ascii="Times New Roman" w:hAnsi="Times New Roman" w:cs="Times New Roman"/>
                <w:sz w:val="24"/>
                <w:szCs w:val="24"/>
              </w:rPr>
              <w:t>9.62%</w:t>
            </w:r>
          </w:p>
        </w:tc>
        <w:tc>
          <w:tcPr>
            <w:tcW w:w="2126" w:type="dxa"/>
          </w:tcPr>
          <w:p w14:paraId="5DBB15A2" w14:textId="77777777" w:rsidR="00A43894" w:rsidRDefault="00E21BB4" w:rsidP="00E312C4">
            <w:pPr>
              <w:spacing w:line="480" w:lineRule="auto"/>
              <w:contextualSpacing/>
              <w:rPr>
                <w:rFonts w:ascii="Times New Roman" w:hAnsi="Times New Roman" w:cs="Times New Roman"/>
                <w:sz w:val="24"/>
                <w:szCs w:val="24"/>
              </w:rPr>
            </w:pPr>
            <w:r w:rsidRPr="00D43AF0">
              <w:rPr>
                <w:rFonts w:ascii="Times New Roman" w:hAnsi="Times New Roman" w:cs="Times New Roman"/>
                <w:sz w:val="24"/>
                <w:szCs w:val="24"/>
                <w:highlight w:val="red"/>
              </w:rPr>
              <w:t>….</w:t>
            </w:r>
          </w:p>
        </w:tc>
      </w:tr>
      <w:tr w:rsidR="001F38F5" w14:paraId="2961A4CE" w14:textId="77777777" w:rsidTr="00A43894">
        <w:tc>
          <w:tcPr>
            <w:tcW w:w="2757" w:type="dxa"/>
          </w:tcPr>
          <w:p w14:paraId="5BABB644" w14:textId="77777777" w:rsidR="00A43894" w:rsidRPr="00266AFE" w:rsidRDefault="00E21BB4" w:rsidP="00E312C4">
            <w:pPr>
              <w:spacing w:line="480" w:lineRule="auto"/>
              <w:contextualSpacing/>
              <w:rPr>
                <w:rFonts w:ascii="Times New Roman" w:hAnsi="Times New Roman" w:cs="Times New Roman"/>
                <w:b/>
                <w:bCs/>
                <w:sz w:val="24"/>
                <w:szCs w:val="24"/>
              </w:rPr>
            </w:pPr>
            <w:r w:rsidRPr="00266AFE">
              <w:rPr>
                <w:rFonts w:ascii="Times New Roman" w:hAnsi="Times New Roman" w:cs="Times New Roman"/>
                <w:b/>
                <w:bCs/>
                <w:sz w:val="24"/>
                <w:szCs w:val="24"/>
              </w:rPr>
              <w:t>1kg Strawberry Muesli</w:t>
            </w:r>
          </w:p>
        </w:tc>
        <w:tc>
          <w:tcPr>
            <w:tcW w:w="2402" w:type="dxa"/>
          </w:tcPr>
          <w:p w14:paraId="657C2AF0" w14:textId="77777777" w:rsidR="00A43894" w:rsidRDefault="00E21BB4" w:rsidP="00E312C4">
            <w:pPr>
              <w:spacing w:line="480" w:lineRule="auto"/>
              <w:contextualSpacing/>
              <w:rPr>
                <w:rFonts w:ascii="Times New Roman" w:hAnsi="Times New Roman" w:cs="Times New Roman"/>
                <w:sz w:val="24"/>
                <w:szCs w:val="24"/>
              </w:rPr>
            </w:pPr>
            <w:r w:rsidRPr="00B23E52">
              <w:rPr>
                <w:rFonts w:ascii="Times New Roman" w:hAnsi="Times New Roman" w:cs="Times New Roman"/>
                <w:sz w:val="24"/>
                <w:szCs w:val="24"/>
              </w:rPr>
              <w:t>15.71%</w:t>
            </w:r>
          </w:p>
        </w:tc>
        <w:tc>
          <w:tcPr>
            <w:tcW w:w="2443" w:type="dxa"/>
          </w:tcPr>
          <w:p w14:paraId="67882A07" w14:textId="77777777" w:rsidR="00A43894" w:rsidRDefault="00E21BB4" w:rsidP="00E312C4">
            <w:pPr>
              <w:spacing w:line="480" w:lineRule="auto"/>
              <w:contextualSpacing/>
              <w:rPr>
                <w:rFonts w:ascii="Times New Roman" w:hAnsi="Times New Roman" w:cs="Times New Roman"/>
                <w:sz w:val="24"/>
                <w:szCs w:val="24"/>
              </w:rPr>
            </w:pPr>
            <w:r w:rsidRPr="00D43AF0">
              <w:rPr>
                <w:rFonts w:ascii="Times New Roman" w:hAnsi="Times New Roman" w:cs="Times New Roman"/>
                <w:sz w:val="24"/>
                <w:szCs w:val="24"/>
              </w:rPr>
              <w:t>2.46%</w:t>
            </w:r>
          </w:p>
        </w:tc>
        <w:tc>
          <w:tcPr>
            <w:tcW w:w="2126" w:type="dxa"/>
          </w:tcPr>
          <w:p w14:paraId="6DC13D82" w14:textId="77777777" w:rsidR="00A43894" w:rsidRDefault="00E21BB4" w:rsidP="00E312C4">
            <w:pPr>
              <w:spacing w:line="480" w:lineRule="auto"/>
              <w:contextualSpacing/>
              <w:rPr>
                <w:rFonts w:ascii="Times New Roman" w:hAnsi="Times New Roman" w:cs="Times New Roman"/>
                <w:sz w:val="24"/>
                <w:szCs w:val="24"/>
              </w:rPr>
            </w:pPr>
            <w:r w:rsidRPr="00D43AF0">
              <w:rPr>
                <w:rFonts w:ascii="Times New Roman" w:hAnsi="Times New Roman" w:cs="Times New Roman"/>
                <w:sz w:val="24"/>
                <w:szCs w:val="24"/>
                <w:highlight w:val="red"/>
              </w:rPr>
              <w:t>….</w:t>
            </w:r>
          </w:p>
        </w:tc>
      </w:tr>
      <w:tr w:rsidR="001F38F5" w14:paraId="7C45455F" w14:textId="77777777" w:rsidTr="00A43894">
        <w:tc>
          <w:tcPr>
            <w:tcW w:w="2757" w:type="dxa"/>
          </w:tcPr>
          <w:p w14:paraId="21FC40FD" w14:textId="77777777" w:rsidR="00A43894" w:rsidRPr="00266AFE" w:rsidRDefault="00E21BB4" w:rsidP="00E312C4">
            <w:pPr>
              <w:spacing w:line="480" w:lineRule="auto"/>
              <w:contextualSpacing/>
              <w:rPr>
                <w:rFonts w:ascii="Times New Roman" w:hAnsi="Times New Roman" w:cs="Times New Roman"/>
                <w:b/>
                <w:bCs/>
                <w:sz w:val="24"/>
                <w:szCs w:val="24"/>
              </w:rPr>
            </w:pPr>
            <w:r w:rsidRPr="00266AFE">
              <w:rPr>
                <w:rFonts w:ascii="Times New Roman" w:hAnsi="Times New Roman" w:cs="Times New Roman"/>
                <w:b/>
                <w:bCs/>
                <w:sz w:val="24"/>
                <w:szCs w:val="24"/>
              </w:rPr>
              <w:t>500g Mixed Fruit Muesli</w:t>
            </w:r>
          </w:p>
        </w:tc>
        <w:tc>
          <w:tcPr>
            <w:tcW w:w="2402" w:type="dxa"/>
          </w:tcPr>
          <w:p w14:paraId="6555EEB1" w14:textId="77777777" w:rsidR="00A43894" w:rsidRDefault="00E21BB4" w:rsidP="00E312C4">
            <w:pPr>
              <w:spacing w:line="480" w:lineRule="auto"/>
              <w:contextualSpacing/>
              <w:rPr>
                <w:rFonts w:ascii="Times New Roman" w:hAnsi="Times New Roman" w:cs="Times New Roman"/>
                <w:sz w:val="24"/>
                <w:szCs w:val="24"/>
              </w:rPr>
            </w:pPr>
            <w:r>
              <w:rPr>
                <w:rFonts w:ascii="Times New Roman" w:hAnsi="Times New Roman" w:cs="Times New Roman"/>
                <w:sz w:val="24"/>
                <w:szCs w:val="24"/>
              </w:rPr>
              <w:t>N/A</w:t>
            </w:r>
          </w:p>
        </w:tc>
        <w:tc>
          <w:tcPr>
            <w:tcW w:w="2443" w:type="dxa"/>
          </w:tcPr>
          <w:p w14:paraId="2CB2F2C4" w14:textId="77777777" w:rsidR="00A43894" w:rsidRDefault="00E21BB4" w:rsidP="00E312C4">
            <w:pPr>
              <w:spacing w:line="480" w:lineRule="auto"/>
              <w:contextualSpacing/>
              <w:rPr>
                <w:rFonts w:ascii="Times New Roman" w:hAnsi="Times New Roman" w:cs="Times New Roman"/>
                <w:sz w:val="24"/>
                <w:szCs w:val="24"/>
              </w:rPr>
            </w:pPr>
            <w:r w:rsidRPr="00D43AF0">
              <w:rPr>
                <w:rFonts w:ascii="Times New Roman" w:hAnsi="Times New Roman" w:cs="Times New Roman"/>
                <w:sz w:val="24"/>
                <w:szCs w:val="24"/>
              </w:rPr>
              <w:t>5.56%</w:t>
            </w:r>
          </w:p>
        </w:tc>
        <w:tc>
          <w:tcPr>
            <w:tcW w:w="2126" w:type="dxa"/>
          </w:tcPr>
          <w:p w14:paraId="68180358" w14:textId="77777777" w:rsidR="00A43894" w:rsidRDefault="00E21BB4" w:rsidP="00E312C4">
            <w:pPr>
              <w:spacing w:line="480" w:lineRule="auto"/>
              <w:contextualSpacing/>
              <w:rPr>
                <w:rFonts w:ascii="Times New Roman" w:hAnsi="Times New Roman" w:cs="Times New Roman"/>
                <w:sz w:val="24"/>
                <w:szCs w:val="24"/>
              </w:rPr>
            </w:pPr>
            <w:r w:rsidRPr="00D43AF0">
              <w:rPr>
                <w:rFonts w:ascii="Times New Roman" w:hAnsi="Times New Roman" w:cs="Times New Roman"/>
                <w:sz w:val="24"/>
                <w:szCs w:val="24"/>
                <w:highlight w:val="green"/>
              </w:rPr>
              <w:t>….</w:t>
            </w:r>
          </w:p>
        </w:tc>
      </w:tr>
      <w:tr w:rsidR="001F38F5" w14:paraId="12AD8365" w14:textId="77777777" w:rsidTr="00A43894">
        <w:tc>
          <w:tcPr>
            <w:tcW w:w="2757" w:type="dxa"/>
          </w:tcPr>
          <w:p w14:paraId="088337C4" w14:textId="77777777" w:rsidR="00A43894" w:rsidRPr="00266AFE" w:rsidRDefault="00E21BB4" w:rsidP="00E312C4">
            <w:pPr>
              <w:spacing w:line="480" w:lineRule="auto"/>
              <w:contextualSpacing/>
              <w:rPr>
                <w:rFonts w:ascii="Times New Roman" w:hAnsi="Times New Roman" w:cs="Times New Roman"/>
                <w:b/>
                <w:bCs/>
                <w:sz w:val="24"/>
                <w:szCs w:val="24"/>
              </w:rPr>
            </w:pPr>
            <w:r w:rsidRPr="00266AFE">
              <w:rPr>
                <w:rFonts w:ascii="Times New Roman" w:hAnsi="Times New Roman" w:cs="Times New Roman"/>
                <w:b/>
                <w:bCs/>
                <w:sz w:val="24"/>
                <w:szCs w:val="24"/>
              </w:rPr>
              <w:t>1kg Mixed Fruit Muesli</w:t>
            </w:r>
          </w:p>
        </w:tc>
        <w:tc>
          <w:tcPr>
            <w:tcW w:w="2402" w:type="dxa"/>
          </w:tcPr>
          <w:p w14:paraId="2CFEFD32" w14:textId="77777777" w:rsidR="00A43894" w:rsidRDefault="00E21BB4" w:rsidP="00E312C4">
            <w:pPr>
              <w:spacing w:line="480" w:lineRule="auto"/>
              <w:contextualSpacing/>
              <w:rPr>
                <w:rFonts w:ascii="Times New Roman" w:hAnsi="Times New Roman" w:cs="Times New Roman"/>
                <w:sz w:val="24"/>
                <w:szCs w:val="24"/>
              </w:rPr>
            </w:pPr>
            <w:r>
              <w:rPr>
                <w:rFonts w:ascii="Times New Roman" w:hAnsi="Times New Roman" w:cs="Times New Roman"/>
                <w:sz w:val="24"/>
                <w:szCs w:val="24"/>
              </w:rPr>
              <w:t>N/A</w:t>
            </w:r>
          </w:p>
        </w:tc>
        <w:tc>
          <w:tcPr>
            <w:tcW w:w="2443" w:type="dxa"/>
          </w:tcPr>
          <w:p w14:paraId="4D443A55" w14:textId="77777777" w:rsidR="00A43894" w:rsidRDefault="00E21BB4" w:rsidP="00E312C4">
            <w:pPr>
              <w:spacing w:line="480" w:lineRule="auto"/>
              <w:contextualSpacing/>
              <w:rPr>
                <w:rFonts w:ascii="Times New Roman" w:hAnsi="Times New Roman" w:cs="Times New Roman"/>
                <w:sz w:val="24"/>
                <w:szCs w:val="24"/>
              </w:rPr>
            </w:pPr>
            <w:r>
              <w:rPr>
                <w:rFonts w:ascii="Times New Roman" w:hAnsi="Times New Roman" w:cs="Times New Roman"/>
                <w:sz w:val="24"/>
                <w:szCs w:val="24"/>
              </w:rPr>
              <w:t>N/A</w:t>
            </w:r>
          </w:p>
        </w:tc>
        <w:tc>
          <w:tcPr>
            <w:tcW w:w="2126" w:type="dxa"/>
          </w:tcPr>
          <w:p w14:paraId="4D7EC08B" w14:textId="77777777" w:rsidR="00A43894" w:rsidRDefault="00E21BB4" w:rsidP="00E312C4">
            <w:pPr>
              <w:spacing w:line="480" w:lineRule="auto"/>
              <w:contextualSpacing/>
              <w:rPr>
                <w:rFonts w:ascii="Times New Roman" w:hAnsi="Times New Roman" w:cs="Times New Roman"/>
                <w:sz w:val="24"/>
                <w:szCs w:val="24"/>
              </w:rPr>
            </w:pPr>
            <w:r w:rsidRPr="00D43AF0">
              <w:rPr>
                <w:rFonts w:ascii="Times New Roman" w:hAnsi="Times New Roman" w:cs="Times New Roman"/>
                <w:sz w:val="24"/>
                <w:szCs w:val="24"/>
                <w:highlight w:val="red"/>
              </w:rPr>
              <w:t>…..</w:t>
            </w:r>
          </w:p>
        </w:tc>
      </w:tr>
      <w:tr w:rsidR="001F38F5" w14:paraId="51A5B355" w14:textId="77777777" w:rsidTr="00A43894">
        <w:tc>
          <w:tcPr>
            <w:tcW w:w="2757" w:type="dxa"/>
          </w:tcPr>
          <w:p w14:paraId="25966693" w14:textId="77777777" w:rsidR="00A43894" w:rsidRPr="00266AFE" w:rsidRDefault="00E21BB4" w:rsidP="00E312C4">
            <w:pPr>
              <w:spacing w:line="480" w:lineRule="auto"/>
              <w:contextualSpacing/>
              <w:rPr>
                <w:rFonts w:ascii="Times New Roman" w:hAnsi="Times New Roman" w:cs="Times New Roman"/>
                <w:i/>
                <w:iCs/>
                <w:sz w:val="24"/>
                <w:szCs w:val="24"/>
              </w:rPr>
            </w:pPr>
            <w:r w:rsidRPr="00266AFE">
              <w:rPr>
                <w:rFonts w:ascii="Times New Roman" w:hAnsi="Times New Roman" w:cs="Times New Roman"/>
                <w:i/>
                <w:iCs/>
                <w:sz w:val="24"/>
                <w:szCs w:val="24"/>
              </w:rPr>
              <w:t>Deviation Key</w:t>
            </w:r>
          </w:p>
        </w:tc>
        <w:tc>
          <w:tcPr>
            <w:tcW w:w="2402" w:type="dxa"/>
          </w:tcPr>
          <w:p w14:paraId="15E9E7AD" w14:textId="77777777" w:rsidR="00A43894" w:rsidRPr="00266AFE" w:rsidRDefault="00E21BB4" w:rsidP="00E312C4">
            <w:pPr>
              <w:spacing w:line="480" w:lineRule="auto"/>
              <w:contextualSpacing/>
              <w:rPr>
                <w:rFonts w:ascii="Times New Roman" w:hAnsi="Times New Roman" w:cs="Times New Roman"/>
                <w:i/>
                <w:iCs/>
                <w:sz w:val="24"/>
                <w:szCs w:val="24"/>
              </w:rPr>
            </w:pPr>
            <w:r w:rsidRPr="00266AFE">
              <w:rPr>
                <w:rFonts w:ascii="Times New Roman" w:hAnsi="Times New Roman" w:cs="Times New Roman"/>
                <w:i/>
                <w:iCs/>
                <w:sz w:val="24"/>
                <w:szCs w:val="24"/>
              </w:rPr>
              <w:t xml:space="preserve">Red </w:t>
            </w:r>
            <w:r w:rsidRPr="00266AFE">
              <w:rPr>
                <w:rFonts w:ascii="Times New Roman" w:hAnsi="Times New Roman" w:cs="Times New Roman"/>
                <w:i/>
                <w:iCs/>
                <w:sz w:val="24"/>
                <w:szCs w:val="24"/>
                <w:highlight w:val="red"/>
              </w:rPr>
              <w:t>….</w:t>
            </w:r>
          </w:p>
        </w:tc>
        <w:tc>
          <w:tcPr>
            <w:tcW w:w="2443" w:type="dxa"/>
          </w:tcPr>
          <w:p w14:paraId="49699C42" w14:textId="77777777" w:rsidR="00A43894" w:rsidRPr="00266AFE" w:rsidRDefault="00E21BB4" w:rsidP="00E312C4">
            <w:pPr>
              <w:spacing w:line="480" w:lineRule="auto"/>
              <w:contextualSpacing/>
              <w:rPr>
                <w:rFonts w:ascii="Times New Roman" w:hAnsi="Times New Roman" w:cs="Times New Roman"/>
                <w:i/>
                <w:iCs/>
                <w:sz w:val="24"/>
                <w:szCs w:val="24"/>
              </w:rPr>
            </w:pPr>
            <w:r w:rsidRPr="00266AFE">
              <w:rPr>
                <w:rFonts w:ascii="Times New Roman" w:hAnsi="Times New Roman" w:cs="Times New Roman"/>
                <w:i/>
                <w:iCs/>
                <w:sz w:val="24"/>
                <w:szCs w:val="24"/>
              </w:rPr>
              <w:t xml:space="preserve">Green </w:t>
            </w:r>
            <w:r w:rsidRPr="00266AFE">
              <w:rPr>
                <w:rFonts w:ascii="Times New Roman" w:hAnsi="Times New Roman" w:cs="Times New Roman"/>
                <w:i/>
                <w:iCs/>
                <w:sz w:val="24"/>
                <w:szCs w:val="24"/>
                <w:highlight w:val="green"/>
              </w:rPr>
              <w:t>…...</w:t>
            </w:r>
          </w:p>
        </w:tc>
        <w:tc>
          <w:tcPr>
            <w:tcW w:w="2126" w:type="dxa"/>
          </w:tcPr>
          <w:p w14:paraId="739C6398" w14:textId="77777777" w:rsidR="00A43894" w:rsidRPr="00266AFE" w:rsidRDefault="00E21BB4" w:rsidP="00E312C4">
            <w:pPr>
              <w:spacing w:line="480" w:lineRule="auto"/>
              <w:contextualSpacing/>
              <w:rPr>
                <w:rFonts w:ascii="Times New Roman" w:hAnsi="Times New Roman" w:cs="Times New Roman"/>
                <w:i/>
                <w:iCs/>
                <w:sz w:val="24"/>
                <w:szCs w:val="24"/>
              </w:rPr>
            </w:pPr>
            <w:r w:rsidRPr="00266AFE">
              <w:rPr>
                <w:rFonts w:ascii="Times New Roman" w:hAnsi="Times New Roman" w:cs="Times New Roman"/>
                <w:i/>
                <w:iCs/>
                <w:sz w:val="24"/>
                <w:szCs w:val="24"/>
              </w:rPr>
              <w:t xml:space="preserve">Blue </w:t>
            </w:r>
            <w:r w:rsidRPr="00266AFE">
              <w:rPr>
                <w:rFonts w:ascii="Times New Roman" w:hAnsi="Times New Roman" w:cs="Times New Roman"/>
                <w:i/>
                <w:iCs/>
                <w:sz w:val="24"/>
                <w:szCs w:val="24"/>
                <w:highlight w:val="blue"/>
              </w:rPr>
              <w:t>….</w:t>
            </w:r>
          </w:p>
        </w:tc>
      </w:tr>
      <w:tr w:rsidR="001F38F5" w14:paraId="308EB835" w14:textId="77777777" w:rsidTr="00A43894">
        <w:tc>
          <w:tcPr>
            <w:tcW w:w="2757" w:type="dxa"/>
          </w:tcPr>
          <w:p w14:paraId="5CDD9A1F" w14:textId="77777777" w:rsidR="00A43894" w:rsidRPr="00266AFE" w:rsidRDefault="00E21BB4" w:rsidP="00E312C4">
            <w:pPr>
              <w:spacing w:line="480" w:lineRule="auto"/>
              <w:contextualSpacing/>
              <w:rPr>
                <w:rFonts w:ascii="Times New Roman" w:hAnsi="Times New Roman" w:cs="Times New Roman"/>
                <w:i/>
                <w:iCs/>
                <w:sz w:val="24"/>
                <w:szCs w:val="24"/>
              </w:rPr>
            </w:pPr>
            <w:r w:rsidRPr="00266AFE">
              <w:rPr>
                <w:rFonts w:ascii="Times New Roman" w:hAnsi="Times New Roman" w:cs="Times New Roman"/>
                <w:i/>
                <w:iCs/>
                <w:sz w:val="24"/>
                <w:szCs w:val="24"/>
              </w:rPr>
              <w:t>Meaning</w:t>
            </w:r>
          </w:p>
        </w:tc>
        <w:tc>
          <w:tcPr>
            <w:tcW w:w="2402" w:type="dxa"/>
          </w:tcPr>
          <w:p w14:paraId="3C6E73B9" w14:textId="77777777" w:rsidR="00A43894" w:rsidRPr="00266AFE" w:rsidRDefault="00E21BB4" w:rsidP="00E312C4">
            <w:pPr>
              <w:spacing w:line="480" w:lineRule="auto"/>
              <w:contextualSpacing/>
              <w:rPr>
                <w:rFonts w:ascii="Times New Roman" w:hAnsi="Times New Roman" w:cs="Times New Roman"/>
                <w:i/>
                <w:iCs/>
                <w:sz w:val="24"/>
                <w:szCs w:val="24"/>
              </w:rPr>
            </w:pPr>
            <w:r w:rsidRPr="00266AFE">
              <w:rPr>
                <w:rFonts w:ascii="Times New Roman" w:hAnsi="Times New Roman" w:cs="Times New Roman"/>
                <w:i/>
                <w:iCs/>
                <w:sz w:val="24"/>
                <w:szCs w:val="24"/>
              </w:rPr>
              <w:t>Untapped Product</w:t>
            </w:r>
          </w:p>
        </w:tc>
        <w:tc>
          <w:tcPr>
            <w:tcW w:w="2443" w:type="dxa"/>
          </w:tcPr>
          <w:p w14:paraId="745A5F96" w14:textId="77777777" w:rsidR="00A43894" w:rsidRPr="00266AFE" w:rsidRDefault="00E21BB4" w:rsidP="00E312C4">
            <w:pPr>
              <w:spacing w:line="480" w:lineRule="auto"/>
              <w:contextualSpacing/>
              <w:rPr>
                <w:rFonts w:ascii="Times New Roman" w:hAnsi="Times New Roman" w:cs="Times New Roman"/>
                <w:i/>
                <w:iCs/>
                <w:sz w:val="24"/>
                <w:szCs w:val="24"/>
              </w:rPr>
            </w:pPr>
            <w:r w:rsidRPr="00266AFE">
              <w:rPr>
                <w:rFonts w:ascii="Times New Roman" w:hAnsi="Times New Roman" w:cs="Times New Roman"/>
                <w:i/>
                <w:iCs/>
                <w:sz w:val="24"/>
                <w:szCs w:val="24"/>
              </w:rPr>
              <w:t>Above Competitor</w:t>
            </w:r>
          </w:p>
        </w:tc>
        <w:tc>
          <w:tcPr>
            <w:tcW w:w="2126" w:type="dxa"/>
          </w:tcPr>
          <w:p w14:paraId="4A120676" w14:textId="77777777" w:rsidR="00A43894" w:rsidRPr="00266AFE" w:rsidRDefault="00E21BB4" w:rsidP="00E312C4">
            <w:pPr>
              <w:spacing w:line="480" w:lineRule="auto"/>
              <w:contextualSpacing/>
              <w:rPr>
                <w:rFonts w:ascii="Times New Roman" w:hAnsi="Times New Roman" w:cs="Times New Roman"/>
                <w:i/>
                <w:iCs/>
                <w:sz w:val="24"/>
                <w:szCs w:val="24"/>
              </w:rPr>
            </w:pPr>
            <w:r w:rsidRPr="00266AFE">
              <w:rPr>
                <w:rFonts w:ascii="Times New Roman" w:hAnsi="Times New Roman" w:cs="Times New Roman"/>
                <w:i/>
                <w:iCs/>
                <w:sz w:val="24"/>
                <w:szCs w:val="24"/>
              </w:rPr>
              <w:t>Competitive</w:t>
            </w:r>
          </w:p>
        </w:tc>
      </w:tr>
    </w:tbl>
    <w:p w14:paraId="6E3D8CD6" w14:textId="77777777" w:rsidR="00FF13C3" w:rsidRPr="00E312C4" w:rsidRDefault="00FF13C3" w:rsidP="00E312C4">
      <w:pPr>
        <w:spacing w:after="0" w:line="480" w:lineRule="auto"/>
        <w:contextualSpacing/>
        <w:rPr>
          <w:rFonts w:ascii="Times New Roman" w:hAnsi="Times New Roman" w:cs="Times New Roman"/>
          <w:sz w:val="24"/>
          <w:szCs w:val="24"/>
        </w:rPr>
      </w:pPr>
    </w:p>
    <w:p w14:paraId="4A50E7CD" w14:textId="77777777" w:rsidR="00D43AF0" w:rsidRPr="00D43AF0" w:rsidRDefault="00E21BB4" w:rsidP="00D43AF0">
      <w:pPr>
        <w:spacing w:after="0" w:line="480" w:lineRule="auto"/>
        <w:contextualSpacing/>
        <w:rPr>
          <w:rFonts w:ascii="Times New Roman" w:hAnsi="Times New Roman" w:cs="Times New Roman"/>
          <w:sz w:val="24"/>
          <w:szCs w:val="24"/>
        </w:rPr>
      </w:pPr>
      <w:r>
        <w:rPr>
          <w:rFonts w:ascii="Times New Roman" w:hAnsi="Times New Roman" w:cs="Times New Roman"/>
          <w:b/>
          <w:bCs/>
          <w:sz w:val="24"/>
          <w:szCs w:val="24"/>
        </w:rPr>
        <w:tab/>
      </w:r>
      <w:r>
        <w:rPr>
          <w:rFonts w:ascii="Times New Roman" w:hAnsi="Times New Roman" w:cs="Times New Roman"/>
          <w:sz w:val="24"/>
          <w:szCs w:val="24"/>
        </w:rPr>
        <w:t xml:space="preserve">The data above showed that 8/15 products have </w:t>
      </w:r>
      <w:r w:rsidR="00266AFE">
        <w:rPr>
          <w:rFonts w:ascii="Times New Roman" w:hAnsi="Times New Roman" w:cs="Times New Roman"/>
          <w:sz w:val="24"/>
          <w:szCs w:val="24"/>
        </w:rPr>
        <w:t xml:space="preserve">untapped potential in the market to secure a competitive ground with company Q. Additionally, there were no competitive products </w:t>
      </w:r>
      <w:r w:rsidR="00266AFE">
        <w:rPr>
          <w:rFonts w:ascii="Times New Roman" w:hAnsi="Times New Roman" w:cs="Times New Roman"/>
          <w:sz w:val="24"/>
          <w:szCs w:val="24"/>
        </w:rPr>
        <w:lastRenderedPageBreak/>
        <w:t>between the two companies, hence raising awareness on the kind of product to invest in the market now and in the future.</w:t>
      </w:r>
    </w:p>
    <w:p w14:paraId="1CD97945" w14:textId="77777777" w:rsidR="00505C22" w:rsidRPr="00505C22" w:rsidRDefault="00E21BB4" w:rsidP="00505C22">
      <w:pPr>
        <w:spacing w:after="0" w:line="480" w:lineRule="auto"/>
        <w:contextualSpacing/>
        <w:jc w:val="center"/>
        <w:rPr>
          <w:rFonts w:ascii="Times New Roman" w:hAnsi="Times New Roman" w:cs="Times New Roman"/>
          <w:b/>
          <w:bCs/>
          <w:sz w:val="24"/>
          <w:szCs w:val="24"/>
        </w:rPr>
      </w:pPr>
      <w:r w:rsidRPr="00505C22">
        <w:rPr>
          <w:rFonts w:ascii="Times New Roman" w:hAnsi="Times New Roman" w:cs="Times New Roman"/>
          <w:b/>
          <w:bCs/>
          <w:sz w:val="24"/>
          <w:szCs w:val="24"/>
        </w:rPr>
        <w:t>Conclusion</w:t>
      </w:r>
    </w:p>
    <w:p w14:paraId="5E0DFEB7" w14:textId="77777777" w:rsidR="00505C22" w:rsidRDefault="00E21BB4" w:rsidP="00266AFE">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 xml:space="preserve">Having </w:t>
      </w:r>
      <w:r w:rsidR="00702703">
        <w:rPr>
          <w:rFonts w:ascii="Times New Roman" w:hAnsi="Times New Roman" w:cs="Times New Roman"/>
          <w:sz w:val="24"/>
          <w:szCs w:val="24"/>
        </w:rPr>
        <w:t>evaluated four major areas for the company, it is ethically right to make conclusions out of the statistical findings in every section. The annual revenue growth depends entirely on the rest of the statistics like the product, distribution channels, and regional optimization. With the products, it is best to reinvest in the 8/15 products which have not to be tested in the market. Additionally, the new products are best dedicated to the best distribution channels; hypermarkets in the South and the grocery stores in the North and West. There is also a demand for the company to optimize sales within the independent stores regardless of the region. Considering all the factors at hand, the company 'P' can reach its growth target and surpass its immediate competitor.</w:t>
      </w:r>
    </w:p>
    <w:p w14:paraId="59F1AA97" w14:textId="77777777" w:rsidR="00702703" w:rsidRDefault="00702703" w:rsidP="00702703">
      <w:pPr>
        <w:spacing w:after="0" w:line="480" w:lineRule="auto"/>
        <w:contextualSpacing/>
        <w:jc w:val="center"/>
        <w:rPr>
          <w:rFonts w:ascii="Times New Roman" w:hAnsi="Times New Roman" w:cs="Times New Roman"/>
          <w:sz w:val="24"/>
          <w:szCs w:val="24"/>
        </w:rPr>
      </w:pPr>
    </w:p>
    <w:p w14:paraId="272A4337" w14:textId="77777777" w:rsidR="00702703" w:rsidRDefault="00702703" w:rsidP="00702703">
      <w:pPr>
        <w:spacing w:after="0" w:line="480" w:lineRule="auto"/>
        <w:contextualSpacing/>
        <w:jc w:val="center"/>
        <w:rPr>
          <w:rFonts w:ascii="Times New Roman" w:hAnsi="Times New Roman" w:cs="Times New Roman"/>
          <w:sz w:val="24"/>
          <w:szCs w:val="24"/>
        </w:rPr>
      </w:pPr>
    </w:p>
    <w:p w14:paraId="1B615F16" w14:textId="77777777" w:rsidR="00702703" w:rsidRDefault="00702703" w:rsidP="00702703">
      <w:pPr>
        <w:spacing w:after="0" w:line="480" w:lineRule="auto"/>
        <w:contextualSpacing/>
        <w:jc w:val="center"/>
        <w:rPr>
          <w:rFonts w:ascii="Times New Roman" w:hAnsi="Times New Roman" w:cs="Times New Roman"/>
          <w:sz w:val="24"/>
          <w:szCs w:val="24"/>
        </w:rPr>
      </w:pPr>
    </w:p>
    <w:p w14:paraId="01899B20" w14:textId="77777777" w:rsidR="00702703" w:rsidRDefault="00702703" w:rsidP="00702703">
      <w:pPr>
        <w:spacing w:after="0" w:line="480" w:lineRule="auto"/>
        <w:contextualSpacing/>
        <w:jc w:val="center"/>
        <w:rPr>
          <w:rFonts w:ascii="Times New Roman" w:hAnsi="Times New Roman" w:cs="Times New Roman"/>
          <w:sz w:val="24"/>
          <w:szCs w:val="24"/>
        </w:rPr>
      </w:pPr>
    </w:p>
    <w:p w14:paraId="1710BCB8" w14:textId="77777777" w:rsidR="00702703" w:rsidRDefault="00702703" w:rsidP="00702703">
      <w:pPr>
        <w:spacing w:after="0" w:line="480" w:lineRule="auto"/>
        <w:contextualSpacing/>
        <w:jc w:val="center"/>
        <w:rPr>
          <w:rFonts w:ascii="Times New Roman" w:hAnsi="Times New Roman" w:cs="Times New Roman"/>
          <w:sz w:val="24"/>
          <w:szCs w:val="24"/>
        </w:rPr>
      </w:pPr>
    </w:p>
    <w:p w14:paraId="7824AB1E" w14:textId="77777777" w:rsidR="00702703" w:rsidRDefault="00702703" w:rsidP="00702703">
      <w:pPr>
        <w:spacing w:after="0" w:line="480" w:lineRule="auto"/>
        <w:contextualSpacing/>
        <w:jc w:val="center"/>
        <w:rPr>
          <w:rFonts w:ascii="Times New Roman" w:hAnsi="Times New Roman" w:cs="Times New Roman"/>
          <w:sz w:val="24"/>
          <w:szCs w:val="24"/>
        </w:rPr>
      </w:pPr>
    </w:p>
    <w:p w14:paraId="31C5A628" w14:textId="77777777" w:rsidR="00702703" w:rsidRDefault="00702703" w:rsidP="00702703">
      <w:pPr>
        <w:spacing w:after="0" w:line="480" w:lineRule="auto"/>
        <w:contextualSpacing/>
        <w:jc w:val="center"/>
        <w:rPr>
          <w:rFonts w:ascii="Times New Roman" w:hAnsi="Times New Roman" w:cs="Times New Roman"/>
          <w:sz w:val="24"/>
          <w:szCs w:val="24"/>
        </w:rPr>
      </w:pPr>
    </w:p>
    <w:p w14:paraId="06841F55" w14:textId="77777777" w:rsidR="00702703" w:rsidRDefault="00702703" w:rsidP="00702703">
      <w:pPr>
        <w:spacing w:after="0" w:line="480" w:lineRule="auto"/>
        <w:contextualSpacing/>
        <w:jc w:val="center"/>
        <w:rPr>
          <w:rFonts w:ascii="Times New Roman" w:hAnsi="Times New Roman" w:cs="Times New Roman"/>
          <w:sz w:val="24"/>
          <w:szCs w:val="24"/>
        </w:rPr>
      </w:pPr>
    </w:p>
    <w:p w14:paraId="15B2A858" w14:textId="77777777" w:rsidR="00702703" w:rsidRDefault="00702703" w:rsidP="00702703">
      <w:pPr>
        <w:spacing w:after="0" w:line="480" w:lineRule="auto"/>
        <w:contextualSpacing/>
        <w:jc w:val="center"/>
        <w:rPr>
          <w:rFonts w:ascii="Times New Roman" w:hAnsi="Times New Roman" w:cs="Times New Roman"/>
          <w:sz w:val="24"/>
          <w:szCs w:val="24"/>
        </w:rPr>
      </w:pPr>
    </w:p>
    <w:p w14:paraId="01F0EEBF" w14:textId="77777777" w:rsidR="00702703" w:rsidRDefault="00702703" w:rsidP="00702703">
      <w:pPr>
        <w:spacing w:after="0" w:line="480" w:lineRule="auto"/>
        <w:contextualSpacing/>
        <w:jc w:val="center"/>
        <w:rPr>
          <w:rFonts w:ascii="Times New Roman" w:hAnsi="Times New Roman" w:cs="Times New Roman"/>
          <w:sz w:val="24"/>
          <w:szCs w:val="24"/>
        </w:rPr>
      </w:pPr>
    </w:p>
    <w:p w14:paraId="1303C066" w14:textId="77777777" w:rsidR="00702703" w:rsidRDefault="00702703" w:rsidP="00702703">
      <w:pPr>
        <w:spacing w:after="0" w:line="480" w:lineRule="auto"/>
        <w:contextualSpacing/>
        <w:jc w:val="center"/>
        <w:rPr>
          <w:rFonts w:ascii="Times New Roman" w:hAnsi="Times New Roman" w:cs="Times New Roman"/>
          <w:sz w:val="24"/>
          <w:szCs w:val="24"/>
        </w:rPr>
      </w:pPr>
    </w:p>
    <w:p w14:paraId="11F8C694" w14:textId="77777777" w:rsidR="00702703" w:rsidRDefault="00E21BB4" w:rsidP="00702703">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0FE6C4C1" w14:textId="77777777" w:rsidR="00702703" w:rsidRDefault="00E21BB4" w:rsidP="00702703">
      <w:pPr>
        <w:spacing w:after="0"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 xml:space="preserve">SAP Analytics Cloud, 2019. Free Trial. Retrieved from; </w:t>
      </w:r>
      <w:hyperlink r:id="rId11" w:history="1">
        <w:r w:rsidRPr="000F5CF9">
          <w:rPr>
            <w:rStyle w:val="Hyperlink"/>
            <w:rFonts w:ascii="Times New Roman" w:hAnsi="Times New Roman" w:cs="Times New Roman"/>
            <w:sz w:val="24"/>
            <w:szCs w:val="24"/>
          </w:rPr>
          <w:t>https://info.sapdigital.com/sap-analyt</w:t>
        </w:r>
        <w:r w:rsidRPr="000F5CF9">
          <w:rPr>
            <w:rStyle w:val="Hyperlink"/>
            <w:rFonts w:ascii="Times New Roman" w:hAnsi="Times New Roman" w:cs="Times New Roman"/>
            <w:sz w:val="24"/>
            <w:szCs w:val="24"/>
          </w:rPr>
          <w:t>ics-cloud-trial.html</w:t>
        </w:r>
      </w:hyperlink>
    </w:p>
    <w:p w14:paraId="2316E14E" w14:textId="77777777" w:rsidR="00702703" w:rsidRDefault="00E21BB4" w:rsidP="00266AFE">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Excel Research Datasheet</w:t>
      </w:r>
      <w:r w:rsidR="00827D67">
        <w:rPr>
          <w:rFonts w:ascii="Times New Roman" w:hAnsi="Times New Roman" w:cs="Times New Roman"/>
          <w:sz w:val="24"/>
          <w:szCs w:val="24"/>
        </w:rPr>
        <w:t xml:space="preserve">, 2019. Company ‘P’. </w:t>
      </w:r>
    </w:p>
    <w:p w14:paraId="3FCE21DC" w14:textId="77777777" w:rsidR="00505C22" w:rsidRDefault="00505C22" w:rsidP="00505C22">
      <w:pPr>
        <w:spacing w:after="0" w:line="480" w:lineRule="auto"/>
        <w:contextualSpacing/>
        <w:jc w:val="center"/>
      </w:pPr>
    </w:p>
    <w:sectPr w:rsidR="00505C22" w:rsidSect="00505C22">
      <w:headerReference w:type="default" r:id="rId12"/>
      <w:head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3673C2B" w14:textId="77777777" w:rsidR="00E21BB4" w:rsidRDefault="00E21BB4">
      <w:pPr>
        <w:spacing w:after="0" w:line="240" w:lineRule="auto"/>
      </w:pPr>
      <w:r>
        <w:separator/>
      </w:r>
    </w:p>
  </w:endnote>
  <w:endnote w:type="continuationSeparator" w:id="0">
    <w:p w14:paraId="6EE8C8BE" w14:textId="77777777" w:rsidR="00E21BB4" w:rsidRDefault="00E21B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22FCFB3" w14:textId="77777777" w:rsidR="00E21BB4" w:rsidRDefault="00E21BB4">
      <w:pPr>
        <w:spacing w:after="0" w:line="240" w:lineRule="auto"/>
      </w:pPr>
      <w:r>
        <w:separator/>
      </w:r>
    </w:p>
  </w:footnote>
  <w:footnote w:type="continuationSeparator" w:id="0">
    <w:p w14:paraId="42A9C04E" w14:textId="77777777" w:rsidR="00E21BB4" w:rsidRDefault="00E21B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98EA8C" w14:textId="77777777" w:rsidR="00505C22" w:rsidRPr="00505C22" w:rsidRDefault="00E21BB4">
    <w:pPr>
      <w:pStyle w:val="Header"/>
      <w:rPr>
        <w:rFonts w:ascii="Times New Roman" w:hAnsi="Times New Roman" w:cs="Times New Roman"/>
        <w:sz w:val="24"/>
        <w:szCs w:val="24"/>
      </w:rPr>
    </w:pPr>
    <w:r w:rsidRPr="00505C22">
      <w:rPr>
        <w:rFonts w:ascii="Times New Roman" w:hAnsi="Times New Roman" w:cs="Times New Roman"/>
        <w:sz w:val="24"/>
        <w:szCs w:val="24"/>
      </w:rPr>
      <w:t xml:space="preserve">Company </w:t>
    </w:r>
    <w:r>
      <w:rPr>
        <w:rFonts w:ascii="Times New Roman" w:hAnsi="Times New Roman" w:cs="Times New Roman"/>
        <w:sz w:val="24"/>
        <w:szCs w:val="24"/>
      </w:rPr>
      <w:t>‘P’ Analysis Report</w:t>
    </w:r>
    <w:r w:rsidRPr="00505C22">
      <w:rPr>
        <w:rFonts w:ascii="Times New Roman" w:hAnsi="Times New Roman" w:cs="Times New Roman"/>
        <w:sz w:val="24"/>
        <w:szCs w:val="24"/>
      </w:rPr>
      <w:tab/>
    </w:r>
    <w:r w:rsidRPr="00505C22">
      <w:rPr>
        <w:rFonts w:ascii="Times New Roman" w:hAnsi="Times New Roman" w:cs="Times New Roman"/>
        <w:sz w:val="24"/>
        <w:szCs w:val="24"/>
      </w:rPr>
      <w:tab/>
    </w:r>
    <w:r w:rsidRPr="00505C22">
      <w:rPr>
        <w:rFonts w:ascii="Times New Roman" w:hAnsi="Times New Roman" w:cs="Times New Roman"/>
        <w:sz w:val="24"/>
        <w:szCs w:val="24"/>
      </w:rPr>
      <w:fldChar w:fldCharType="begin"/>
    </w:r>
    <w:r w:rsidRPr="00505C22">
      <w:rPr>
        <w:rFonts w:ascii="Times New Roman" w:hAnsi="Times New Roman" w:cs="Times New Roman"/>
        <w:sz w:val="24"/>
        <w:szCs w:val="24"/>
      </w:rPr>
      <w:instrText xml:space="preserve"> PAGE   \* MERGEFORMAT </w:instrText>
    </w:r>
    <w:r w:rsidRPr="00505C22">
      <w:rPr>
        <w:rFonts w:ascii="Times New Roman" w:hAnsi="Times New Roman" w:cs="Times New Roman"/>
        <w:sz w:val="24"/>
        <w:szCs w:val="24"/>
      </w:rPr>
      <w:fldChar w:fldCharType="separate"/>
    </w:r>
    <w:r w:rsidRPr="00505C22">
      <w:rPr>
        <w:rFonts w:ascii="Times New Roman" w:hAnsi="Times New Roman" w:cs="Times New Roman"/>
        <w:noProof/>
        <w:sz w:val="24"/>
        <w:szCs w:val="24"/>
      </w:rPr>
      <w:t>1</w:t>
    </w:r>
    <w:r w:rsidRPr="00505C22">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AFE337" w14:textId="77777777" w:rsidR="00505C22" w:rsidRPr="00505C22" w:rsidRDefault="00E21BB4">
    <w:pPr>
      <w:pStyle w:val="Header"/>
      <w:rPr>
        <w:rFonts w:ascii="Times New Roman" w:hAnsi="Times New Roman" w:cs="Times New Roman"/>
        <w:sz w:val="24"/>
        <w:szCs w:val="24"/>
      </w:rPr>
    </w:pPr>
    <w:r>
      <w:rPr>
        <w:rFonts w:ascii="Times New Roman" w:hAnsi="Times New Roman" w:cs="Times New Roman"/>
        <w:sz w:val="24"/>
        <w:szCs w:val="24"/>
      </w:rPr>
      <w:t>Running head: COMPANY ‘P’ ANALYSIS REPORT</w:t>
    </w:r>
    <w:r>
      <w:rPr>
        <w:rFonts w:ascii="Times New Roman" w:hAnsi="Times New Roman" w:cs="Times New Roman"/>
        <w:sz w:val="24"/>
        <w:szCs w:val="24"/>
      </w:rPr>
      <w:tab/>
    </w:r>
    <w:r w:rsidRPr="00505C22">
      <w:rPr>
        <w:rFonts w:ascii="Times New Roman" w:hAnsi="Times New Roman" w:cs="Times New Roman"/>
        <w:sz w:val="24"/>
        <w:szCs w:val="24"/>
      </w:rPr>
      <w:fldChar w:fldCharType="begin"/>
    </w:r>
    <w:r w:rsidRPr="00505C22">
      <w:rPr>
        <w:rFonts w:ascii="Times New Roman" w:hAnsi="Times New Roman" w:cs="Times New Roman"/>
        <w:sz w:val="24"/>
        <w:szCs w:val="24"/>
      </w:rPr>
      <w:instrText xml:space="preserve"> PAGE   \* MERGEFORMAT </w:instrText>
    </w:r>
    <w:r w:rsidRPr="00505C22">
      <w:rPr>
        <w:rFonts w:ascii="Times New Roman" w:hAnsi="Times New Roman" w:cs="Times New Roman"/>
        <w:sz w:val="24"/>
        <w:szCs w:val="24"/>
      </w:rPr>
      <w:fldChar w:fldCharType="separate"/>
    </w:r>
    <w:r w:rsidRPr="00505C22">
      <w:rPr>
        <w:rFonts w:ascii="Times New Roman" w:hAnsi="Times New Roman" w:cs="Times New Roman"/>
        <w:noProof/>
        <w:sz w:val="24"/>
        <w:szCs w:val="24"/>
      </w:rPr>
      <w:t>1</w:t>
    </w:r>
    <w:r w:rsidRPr="00505C22">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5C22"/>
    <w:rsid w:val="00002DF4"/>
    <w:rsid w:val="00077157"/>
    <w:rsid w:val="000924FA"/>
    <w:rsid w:val="000F5CF9"/>
    <w:rsid w:val="00194711"/>
    <w:rsid w:val="001F38F5"/>
    <w:rsid w:val="00266AFE"/>
    <w:rsid w:val="00296BBD"/>
    <w:rsid w:val="002D5F71"/>
    <w:rsid w:val="003240FB"/>
    <w:rsid w:val="00425707"/>
    <w:rsid w:val="004B051C"/>
    <w:rsid w:val="004C3F4A"/>
    <w:rsid w:val="00505C22"/>
    <w:rsid w:val="0050783C"/>
    <w:rsid w:val="006676F9"/>
    <w:rsid w:val="00702703"/>
    <w:rsid w:val="00827D67"/>
    <w:rsid w:val="00841534"/>
    <w:rsid w:val="00A43894"/>
    <w:rsid w:val="00B23E52"/>
    <w:rsid w:val="00BB05A2"/>
    <w:rsid w:val="00BE4ADF"/>
    <w:rsid w:val="00C41018"/>
    <w:rsid w:val="00D12540"/>
    <w:rsid w:val="00D43AF0"/>
    <w:rsid w:val="00E015CA"/>
    <w:rsid w:val="00E21BB4"/>
    <w:rsid w:val="00E312C4"/>
    <w:rsid w:val="00EC63EE"/>
    <w:rsid w:val="00EE2E54"/>
    <w:rsid w:val="00FE3DD6"/>
    <w:rsid w:val="00FF13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A8ACE1"/>
  <w15:chartTrackingRefBased/>
  <w15:docId w15:val="{C73F5697-FC2A-4FAC-9C73-3C3E69E930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05C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5C22"/>
  </w:style>
  <w:style w:type="paragraph" w:styleId="Footer">
    <w:name w:val="footer"/>
    <w:basedOn w:val="Normal"/>
    <w:link w:val="FooterChar"/>
    <w:uiPriority w:val="99"/>
    <w:unhideWhenUsed/>
    <w:rsid w:val="00505C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5C22"/>
  </w:style>
  <w:style w:type="paragraph" w:styleId="Caption">
    <w:name w:val="caption"/>
    <w:basedOn w:val="Normal"/>
    <w:next w:val="Normal"/>
    <w:uiPriority w:val="35"/>
    <w:unhideWhenUsed/>
    <w:qFormat/>
    <w:rsid w:val="00EE2E54"/>
    <w:pPr>
      <w:spacing w:after="200" w:line="240" w:lineRule="auto"/>
    </w:pPr>
    <w:rPr>
      <w:i/>
      <w:iCs/>
      <w:color w:val="44546A" w:themeColor="text2"/>
      <w:sz w:val="18"/>
      <w:szCs w:val="18"/>
    </w:rPr>
  </w:style>
  <w:style w:type="table" w:styleId="TableGrid">
    <w:name w:val="Table Grid"/>
    <w:basedOn w:val="TableNormal"/>
    <w:uiPriority w:val="39"/>
    <w:rsid w:val="00FF13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02703"/>
    <w:rPr>
      <w:color w:val="0563C1" w:themeColor="hyperlink"/>
      <w:u w:val="single"/>
    </w:rPr>
  </w:style>
  <w:style w:type="character" w:customStyle="1" w:styleId="UnresolvedMention1">
    <w:name w:val="Unresolved Mention1"/>
    <w:basedOn w:val="DefaultParagraphFont"/>
    <w:uiPriority w:val="99"/>
    <w:semiHidden/>
    <w:unhideWhenUsed/>
    <w:rsid w:val="0070270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image" Target="media/image1.png"/><Relationship Id="rId12"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hart" Target="charts/chart1.xml"/><Relationship Id="rId11" Type="http://schemas.openxmlformats.org/officeDocument/2006/relationships/hyperlink" Target="https://info.sapdigital.com/sap-analytics-cloud-trial.html" TargetMode="Externa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footnotes" Target="footnotes.xml"/><Relationship Id="rId9" Type="http://schemas.openxmlformats.org/officeDocument/2006/relationships/chart" Target="charts/chart2.xml"/><Relationship Id="rId14"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oleObject" Target="file:///E:\academic%20writing\submitted\Durdella%20-%20Sales%20Data%20for%20Research%20Project%20(Company%20P).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E:\academic%20writing\submitted\Durdella%20-%20Sales%20Data%20for%20Research%20Project%20(Company%20P).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pivotSource>
    <c:name>[Durdella - Sales Data for Research Project (Company P).xlsx]Revenue Per Year!PivotTable3</c:name>
    <c:fmtId val="-1"/>
  </c:pivotSource>
  <c:chart>
    <c:title>
      <c:tx>
        <c:rich>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r>
              <a:rPr lang="en-US"/>
              <a:t>Company 'P' Revenue Per Year (2012 - 2019) </a:t>
            </a:r>
          </a:p>
        </c:rich>
      </c:tx>
      <c:overlay val="0"/>
      <c:spPr>
        <a:noFill/>
        <a:ln>
          <a:noFill/>
        </a:ln>
        <a:effectLst/>
      </c:spPr>
      <c:txPr>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endParaRPr lang="en-US"/>
        </a:p>
      </c:txPr>
    </c:title>
    <c:autoTitleDeleted val="0"/>
    <c:pivotFmts>
      <c:pivotFmt>
        <c:idx val="0"/>
        <c:dLbl>
          <c:idx val="0"/>
          <c:showLegendKey val="0"/>
          <c:showVal val="0"/>
          <c:showCatName val="0"/>
          <c:showSerName val="0"/>
          <c:showPercent val="0"/>
          <c:showBubbleSize val="0"/>
          <c:extLst>
            <c:ext xmlns:c15="http://schemas.microsoft.com/office/drawing/2012/chart" uri="{CE6537A1-D6FC-4f65-9D91-7224C49458BB}"/>
          </c:extLst>
        </c:dLbl>
      </c:pivotFmt>
      <c:pivotFmt>
        <c:idx val="1"/>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w="34925" cap="rnd">
            <a:solidFill>
              <a:schemeClr val="accent1"/>
            </a:solidFill>
            <a:round/>
          </a:ln>
          <a:effectLst>
            <a:outerShdw blurRad="57150" dist="19050" dir="5400000" algn="ctr" rotWithShape="0">
              <a:srgbClr val="000000">
                <a:alpha val="63000"/>
              </a:srgbClr>
            </a:outerShdw>
          </a:effectLst>
        </c:spPr>
        <c:marker>
          <c:symbol val="circle"/>
          <c:size val="6"/>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w="9525">
              <a:solidFill>
                <a:schemeClr val="accent1"/>
              </a:solidFill>
              <a:round/>
            </a:ln>
            <a:effectLst>
              <a:outerShdw blurRad="57150" dist="19050" dir="5400000" algn="ctr" rotWithShape="0">
                <a:srgbClr val="000000">
                  <a:alpha val="63000"/>
                </a:srgbClr>
              </a:outerShdw>
            </a:effectLst>
          </c:spPr>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dLblPos val="b"/>
          <c:showLegendKey val="0"/>
          <c:showVal val="1"/>
          <c:showCatName val="0"/>
          <c:showSerName val="0"/>
          <c:showPercent val="0"/>
          <c:showBubbleSize val="0"/>
          <c:extLst>
            <c:ext xmlns:c15="http://schemas.microsoft.com/office/drawing/2012/chart" uri="{CE6537A1-D6FC-4f65-9D91-7224C49458BB}"/>
          </c:extLst>
        </c:dLbl>
      </c:pivotFmt>
      <c:pivotFmt>
        <c:idx val="2"/>
        <c:dLbl>
          <c:idx val="0"/>
          <c:showLegendKey val="0"/>
          <c:showVal val="0"/>
          <c:showCatName val="0"/>
          <c:showSerName val="0"/>
          <c:showPercent val="0"/>
          <c:showBubbleSize val="0"/>
          <c:extLst>
            <c:ext xmlns:c15="http://schemas.microsoft.com/office/drawing/2012/chart" uri="{CE6537A1-D6FC-4f65-9D91-7224C49458BB}"/>
          </c:extLst>
        </c:dLbl>
      </c:pivotFmt>
      <c:pivotFmt>
        <c:idx val="3"/>
        <c:dLbl>
          <c:idx val="0"/>
          <c:showLegendKey val="0"/>
          <c:showVal val="1"/>
          <c:showCatName val="1"/>
          <c:showSerName val="0"/>
          <c:showPercent val="0"/>
          <c:showBubbleSize val="0"/>
          <c:extLst>
            <c:ext xmlns:c15="http://schemas.microsoft.com/office/drawing/2012/chart" uri="{CE6537A1-D6FC-4f65-9D91-7224C49458BB}"/>
          </c:extLst>
        </c:dLbl>
      </c:pivotFmt>
      <c:pivotFmt>
        <c:idx val="4"/>
        <c:dLbl>
          <c:idx val="0"/>
          <c:showLegendKey val="0"/>
          <c:showVal val="1"/>
          <c:showCatName val="1"/>
          <c:showSerName val="0"/>
          <c:showPercent val="0"/>
          <c:showBubbleSize val="0"/>
          <c:extLst>
            <c:ext xmlns:c15="http://schemas.microsoft.com/office/drawing/2012/chart" uri="{CE6537A1-D6FC-4f65-9D91-7224C49458BB}"/>
          </c:extLst>
        </c:dLbl>
      </c:pivotFmt>
      <c:pivotFmt>
        <c:idx val="5"/>
        <c:dLbl>
          <c:idx val="0"/>
          <c:showLegendKey val="0"/>
          <c:showVal val="1"/>
          <c:showCatName val="1"/>
          <c:showSerName val="0"/>
          <c:showPercent val="0"/>
          <c:showBubbleSize val="0"/>
          <c:extLst>
            <c:ext xmlns:c15="http://schemas.microsoft.com/office/drawing/2012/chart" uri="{CE6537A1-D6FC-4f65-9D91-7224C49458BB}"/>
          </c:extLst>
        </c:dLbl>
      </c:pivotFmt>
      <c:pivotFmt>
        <c:idx val="6"/>
        <c:dLbl>
          <c:idx val="0"/>
          <c:showLegendKey val="0"/>
          <c:showVal val="1"/>
          <c:showCatName val="1"/>
          <c:showSerName val="0"/>
          <c:showPercent val="0"/>
          <c:showBubbleSize val="0"/>
          <c:extLst>
            <c:ext xmlns:c15="http://schemas.microsoft.com/office/drawing/2012/chart" uri="{CE6537A1-D6FC-4f65-9D91-7224C49458BB}"/>
          </c:extLst>
        </c:dLbl>
      </c:pivotFmt>
      <c:pivotFmt>
        <c:idx val="7"/>
        <c:dLbl>
          <c:idx val="0"/>
          <c:showLegendKey val="0"/>
          <c:showVal val="1"/>
          <c:showCatName val="1"/>
          <c:showSerName val="0"/>
          <c:showPercent val="0"/>
          <c:showBubbleSize val="0"/>
          <c:extLst>
            <c:ext xmlns:c15="http://schemas.microsoft.com/office/drawing/2012/chart" uri="{CE6537A1-D6FC-4f65-9D91-7224C49458BB}"/>
          </c:extLst>
        </c:dLbl>
      </c:pivotFmt>
      <c:pivotFmt>
        <c:idx val="8"/>
        <c:dLbl>
          <c:idx val="0"/>
          <c:showLegendKey val="0"/>
          <c:showVal val="1"/>
          <c:showCatName val="1"/>
          <c:showSerName val="0"/>
          <c:showPercent val="0"/>
          <c:showBubbleSize val="0"/>
          <c:extLst>
            <c:ext xmlns:c15="http://schemas.microsoft.com/office/drawing/2012/chart" uri="{CE6537A1-D6FC-4f65-9D91-7224C49458BB}"/>
          </c:extLst>
        </c:dLbl>
      </c:pivotFmt>
      <c:pivotFmt>
        <c:idx val="9"/>
        <c:dLbl>
          <c:idx val="0"/>
          <c:showLegendKey val="0"/>
          <c:showVal val="1"/>
          <c:showCatName val="1"/>
          <c:showSerName val="0"/>
          <c:showPercent val="0"/>
          <c:showBubbleSize val="0"/>
          <c:extLst>
            <c:ext xmlns:c15="http://schemas.microsoft.com/office/drawing/2012/chart" uri="{CE6537A1-D6FC-4f65-9D91-7224C49458BB}"/>
          </c:extLst>
        </c:dLbl>
      </c:pivotFmt>
      <c:pivotFmt>
        <c:idx val="10"/>
        <c:dLbl>
          <c:idx val="0"/>
          <c:showLegendKey val="0"/>
          <c:showVal val="1"/>
          <c:showCatName val="1"/>
          <c:showSerName val="0"/>
          <c:showPercent val="0"/>
          <c:showBubbleSize val="0"/>
          <c:extLst>
            <c:ext xmlns:c15="http://schemas.microsoft.com/office/drawing/2012/chart" uri="{CE6537A1-D6FC-4f65-9D91-7224C49458BB}"/>
          </c:extLst>
        </c:dLbl>
      </c:pivotFmt>
      <c:pivotFmt>
        <c:idx val="11"/>
      </c:pivotFmt>
      <c:pivotFmt>
        <c:idx val="12"/>
      </c:pivotFmt>
      <c:pivotFmt>
        <c:idx val="13"/>
        <c:dLbl>
          <c:idx val="0"/>
          <c:showLegendKey val="0"/>
          <c:showVal val="1"/>
          <c:showCatName val="1"/>
          <c:showSerName val="0"/>
          <c:showPercent val="0"/>
          <c:showBubbleSize val="0"/>
          <c:extLst>
            <c:ext xmlns:c15="http://schemas.microsoft.com/office/drawing/2012/chart" uri="{CE6537A1-D6FC-4f65-9D91-7224C49458BB}"/>
          </c:extLst>
        </c:dLbl>
      </c:pivotFmt>
      <c:pivotFmt>
        <c:idx val="14"/>
        <c:dLbl>
          <c:idx val="0"/>
          <c:showLegendKey val="0"/>
          <c:showVal val="1"/>
          <c:showCatName val="1"/>
          <c:showSerName val="0"/>
          <c:showPercent val="0"/>
          <c:showBubbleSize val="0"/>
          <c:extLst>
            <c:ext xmlns:c15="http://schemas.microsoft.com/office/drawing/2012/chart" uri="{CE6537A1-D6FC-4f65-9D91-7224C49458BB}"/>
          </c:extLst>
        </c:dLbl>
      </c:pivotFmt>
      <c:pivotFmt>
        <c:idx val="15"/>
        <c:dLbl>
          <c:idx val="0"/>
          <c:showLegendKey val="0"/>
          <c:showVal val="1"/>
          <c:showCatName val="1"/>
          <c:showSerName val="0"/>
          <c:showPercent val="0"/>
          <c:showBubbleSize val="0"/>
          <c:extLst>
            <c:ext xmlns:c15="http://schemas.microsoft.com/office/drawing/2012/chart" uri="{CE6537A1-D6FC-4f65-9D91-7224C49458BB}"/>
          </c:extLst>
        </c:dLbl>
      </c:pivotFmt>
      <c:pivotFmt>
        <c:idx val="16"/>
        <c:dLbl>
          <c:idx val="0"/>
          <c:showLegendKey val="0"/>
          <c:showVal val="1"/>
          <c:showCatName val="1"/>
          <c:showSerName val="0"/>
          <c:showPercent val="0"/>
          <c:showBubbleSize val="0"/>
          <c:extLst>
            <c:ext xmlns:c15="http://schemas.microsoft.com/office/drawing/2012/chart" uri="{CE6537A1-D6FC-4f65-9D91-7224C49458BB}"/>
          </c:extLst>
        </c:dLbl>
      </c:pivotFmt>
      <c:pivotFmt>
        <c:idx val="17"/>
        <c:dLbl>
          <c:idx val="0"/>
          <c:showLegendKey val="0"/>
          <c:showVal val="1"/>
          <c:showCatName val="1"/>
          <c:showSerName val="0"/>
          <c:showPercent val="0"/>
          <c:showBubbleSize val="0"/>
          <c:extLst>
            <c:ext xmlns:c15="http://schemas.microsoft.com/office/drawing/2012/chart" uri="{CE6537A1-D6FC-4f65-9D91-7224C49458BB}"/>
          </c:extLst>
        </c:dLbl>
      </c:pivotFmt>
      <c:pivotFmt>
        <c:idx val="18"/>
        <c:dLbl>
          <c:idx val="0"/>
          <c:showLegendKey val="0"/>
          <c:showVal val="1"/>
          <c:showCatName val="1"/>
          <c:showSerName val="0"/>
          <c:showPercent val="0"/>
          <c:showBubbleSize val="0"/>
          <c:extLst>
            <c:ext xmlns:c15="http://schemas.microsoft.com/office/drawing/2012/chart" uri="{CE6537A1-D6FC-4f65-9D91-7224C49458BB}"/>
          </c:extLst>
        </c:dLbl>
      </c:pivotFmt>
      <c:pivotFmt>
        <c:idx val="19"/>
        <c:dLbl>
          <c:idx val="0"/>
          <c:showLegendKey val="0"/>
          <c:showVal val="1"/>
          <c:showCatName val="1"/>
          <c:showSerName val="0"/>
          <c:showPercent val="0"/>
          <c:showBubbleSize val="0"/>
          <c:extLst>
            <c:ext xmlns:c15="http://schemas.microsoft.com/office/drawing/2012/chart" uri="{CE6537A1-D6FC-4f65-9D91-7224C49458BB}"/>
          </c:extLst>
        </c:dLbl>
      </c:pivotFmt>
      <c:pivotFmt>
        <c:idx val="20"/>
        <c:dLbl>
          <c:idx val="0"/>
          <c:showLegendKey val="0"/>
          <c:showVal val="1"/>
          <c:showCatName val="1"/>
          <c:showSerName val="0"/>
          <c:showPercent val="0"/>
          <c:showBubbleSize val="0"/>
          <c:extLst>
            <c:ext xmlns:c15="http://schemas.microsoft.com/office/drawing/2012/chart" uri="{CE6537A1-D6FC-4f65-9D91-7224C49458BB}"/>
          </c:extLst>
        </c:dLbl>
      </c:pivotFmt>
      <c:pivotFmt>
        <c:idx val="21"/>
        <c:dLbl>
          <c:idx val="0"/>
          <c:showLegendKey val="0"/>
          <c:showVal val="1"/>
          <c:showCatName val="1"/>
          <c:showSerName val="0"/>
          <c:showPercent val="0"/>
          <c:showBubbleSize val="0"/>
          <c:extLst>
            <c:ext xmlns:c15="http://schemas.microsoft.com/office/drawing/2012/chart" uri="{CE6537A1-D6FC-4f65-9D91-7224C49458BB}"/>
          </c:extLst>
        </c:dLbl>
      </c:pivotFmt>
      <c:pivotFmt>
        <c:idx val="22"/>
        <c:dLbl>
          <c:idx val="0"/>
          <c:showLegendKey val="0"/>
          <c:showVal val="1"/>
          <c:showCatName val="1"/>
          <c:showSerName val="0"/>
          <c:showPercent val="0"/>
          <c:showBubbleSize val="0"/>
          <c:extLst>
            <c:ext xmlns:c15="http://schemas.microsoft.com/office/drawing/2012/chart" uri="{CE6537A1-D6FC-4f65-9D91-7224C49458BB}"/>
          </c:extLst>
        </c:dLbl>
      </c:pivotFmt>
      <c:pivotFmt>
        <c:idx val="23"/>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w="34925" cap="rnd">
            <a:solidFill>
              <a:schemeClr val="accent1"/>
            </a:solidFill>
            <a:round/>
          </a:ln>
          <a:effectLst>
            <a:outerShdw blurRad="57150" dist="19050" dir="5400000" algn="ctr" rotWithShape="0">
              <a:srgbClr val="000000">
                <a:alpha val="63000"/>
              </a:srgbClr>
            </a:outerShdw>
          </a:effectLst>
        </c:spPr>
        <c:marker>
          <c:symbol val="circle"/>
          <c:size val="6"/>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w="9525">
              <a:solidFill>
                <a:schemeClr val="accent1"/>
              </a:solidFill>
              <a:round/>
            </a:ln>
            <a:effectLst>
              <a:outerShdw blurRad="57150" dist="19050" dir="5400000" algn="ctr" rotWithShape="0">
                <a:srgbClr val="000000">
                  <a:alpha val="63000"/>
                </a:srgbClr>
              </a:outerShdw>
            </a:effectLst>
          </c:spPr>
        </c:marker>
        <c:dLbl>
          <c:idx val="0"/>
          <c:layout>
            <c:manualLayout>
              <c:x val="-2.5793140181435217E-2"/>
              <c:y val="-0.10010483432668354"/>
            </c:manualLayout>
          </c:layout>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dLblPos val="r"/>
          <c:showLegendKey val="0"/>
          <c:showVal val="1"/>
          <c:showCatName val="0"/>
          <c:showSerName val="0"/>
          <c:showPercent val="0"/>
          <c:showBubbleSize val="0"/>
          <c:extLst>
            <c:ext xmlns:c15="http://schemas.microsoft.com/office/drawing/2012/chart" uri="{CE6537A1-D6FC-4f65-9D91-7224C49458BB}"/>
          </c:extLst>
        </c:dLbl>
      </c:pivotFmt>
      <c:pivotFmt>
        <c:idx val="24"/>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w="34925" cap="rnd">
            <a:solidFill>
              <a:schemeClr val="accent1"/>
            </a:solidFill>
            <a:round/>
          </a:ln>
          <a:effectLst>
            <a:outerShdw blurRad="57150" dist="19050" dir="5400000" algn="ctr" rotWithShape="0">
              <a:srgbClr val="000000">
                <a:alpha val="63000"/>
              </a:srgbClr>
            </a:outerShdw>
          </a:effectLst>
        </c:spPr>
        <c:marker>
          <c:symbol val="circle"/>
          <c:size val="6"/>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w="9525">
              <a:solidFill>
                <a:schemeClr val="accent1"/>
              </a:solidFill>
              <a:round/>
            </a:ln>
            <a:effectLst>
              <a:outerShdw blurRad="57150" dist="19050" dir="5400000" algn="ctr" rotWithShape="0">
                <a:srgbClr val="000000">
                  <a:alpha val="63000"/>
                </a:srgbClr>
              </a:outerShdw>
            </a:effectLst>
          </c:spPr>
        </c:marker>
        <c:dLbl>
          <c:idx val="0"/>
          <c:layout>
            <c:manualLayout>
              <c:x val="-6.870235053981924E-2"/>
              <c:y val="8.0686080167246849E-2"/>
            </c:manualLayout>
          </c:layout>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dLblPos val="r"/>
          <c:showLegendKey val="0"/>
          <c:showVal val="1"/>
          <c:showCatName val="0"/>
          <c:showSerName val="0"/>
          <c:showPercent val="0"/>
          <c:showBubbleSize val="0"/>
          <c:extLst>
            <c:ext xmlns:c15="http://schemas.microsoft.com/office/drawing/2012/chart" uri="{CE6537A1-D6FC-4f65-9D91-7224C49458BB}"/>
          </c:extLst>
        </c:dLbl>
      </c:pivotFmt>
      <c:pivotFmt>
        <c:idx val="25"/>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w="34925" cap="rnd">
            <a:solidFill>
              <a:schemeClr val="accent1"/>
            </a:solidFill>
            <a:round/>
          </a:ln>
          <a:effectLst>
            <a:outerShdw blurRad="57150" dist="19050" dir="5400000" algn="ctr" rotWithShape="0">
              <a:srgbClr val="000000">
                <a:alpha val="63000"/>
              </a:srgbClr>
            </a:outerShdw>
          </a:effectLst>
        </c:spPr>
        <c:marker>
          <c:symbol val="circle"/>
          <c:size val="6"/>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w="9525">
              <a:solidFill>
                <a:schemeClr val="accent1"/>
              </a:solidFill>
              <a:round/>
            </a:ln>
            <a:effectLst>
              <a:outerShdw blurRad="57150" dist="19050" dir="5400000" algn="ctr" rotWithShape="0">
                <a:srgbClr val="000000">
                  <a:alpha val="63000"/>
                </a:srgbClr>
              </a:outerShdw>
            </a:effectLst>
          </c:spPr>
        </c:marker>
        <c:dLbl>
          <c:idx val="0"/>
          <c:layout>
            <c:manualLayout>
              <c:x val="-6.8702350539819379E-2"/>
              <c:y val="-8.7191197577117033E-2"/>
            </c:manualLayout>
          </c:layout>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dLblPos val="r"/>
          <c:showLegendKey val="0"/>
          <c:showVal val="1"/>
          <c:showCatName val="0"/>
          <c:showSerName val="0"/>
          <c:showPercent val="0"/>
          <c:showBubbleSize val="0"/>
          <c:extLst>
            <c:ext xmlns:c15="http://schemas.microsoft.com/office/drawing/2012/chart" uri="{CE6537A1-D6FC-4f65-9D91-7224C49458BB}"/>
          </c:extLst>
        </c:dLbl>
      </c:pivotFmt>
      <c:pivotFmt>
        <c:idx val="26"/>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w="34925" cap="rnd">
            <a:solidFill>
              <a:schemeClr val="accent1"/>
            </a:solidFill>
            <a:round/>
          </a:ln>
          <a:effectLst>
            <a:outerShdw blurRad="57150" dist="19050" dir="5400000" algn="ctr" rotWithShape="0">
              <a:srgbClr val="000000">
                <a:alpha val="63000"/>
              </a:srgbClr>
            </a:outerShdw>
          </a:effectLst>
        </c:spPr>
        <c:marker>
          <c:symbol val="circle"/>
          <c:size val="6"/>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w="9525">
              <a:solidFill>
                <a:schemeClr val="accent1"/>
              </a:solidFill>
              <a:round/>
            </a:ln>
            <a:effectLst>
              <a:outerShdw blurRad="57150" dist="19050" dir="5400000" algn="ctr" rotWithShape="0">
                <a:srgbClr val="000000">
                  <a:alpha val="63000"/>
                </a:srgbClr>
              </a:outerShdw>
            </a:effectLst>
          </c:spPr>
        </c:marker>
        <c:dLbl>
          <c:idx val="0"/>
          <c:layout>
            <c:manualLayout>
              <c:x val="-7.0600333506991367E-2"/>
              <c:y val="6.7772443417680392E-2"/>
            </c:manualLayout>
          </c:layout>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dLblPos val="r"/>
          <c:showLegendKey val="0"/>
          <c:showVal val="1"/>
          <c:showCatName val="0"/>
          <c:showSerName val="0"/>
          <c:showPercent val="0"/>
          <c:showBubbleSize val="0"/>
          <c:extLst>
            <c:ext xmlns:c15="http://schemas.microsoft.com/office/drawing/2012/chart" uri="{CE6537A1-D6FC-4f65-9D91-7224C49458BB}"/>
          </c:extLst>
        </c:dLbl>
      </c:pivotFmt>
      <c:pivotFmt>
        <c:idx val="27"/>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w="34925" cap="rnd">
            <a:solidFill>
              <a:schemeClr val="accent1"/>
            </a:solidFill>
            <a:round/>
          </a:ln>
          <a:effectLst>
            <a:outerShdw blurRad="57150" dist="19050" dir="5400000" algn="ctr" rotWithShape="0">
              <a:srgbClr val="000000">
                <a:alpha val="63000"/>
              </a:srgbClr>
            </a:outerShdw>
          </a:effectLst>
        </c:spPr>
        <c:marker>
          <c:symbol val="circle"/>
          <c:size val="6"/>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w="9525">
              <a:solidFill>
                <a:schemeClr val="accent1"/>
              </a:solidFill>
              <a:round/>
            </a:ln>
            <a:effectLst>
              <a:outerShdw blurRad="57150" dist="19050" dir="5400000" algn="ctr" rotWithShape="0">
                <a:srgbClr val="000000">
                  <a:alpha val="63000"/>
                </a:srgbClr>
              </a:outerShdw>
            </a:effectLst>
          </c:spPr>
        </c:marker>
        <c:dLbl>
          <c:idx val="0"/>
          <c:layout>
            <c:manualLayout>
              <c:x val="-5.5416469769614826E-2"/>
              <c:y val="-0.11624688026364155"/>
            </c:manualLayout>
          </c:layout>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dLblPos val="r"/>
          <c:showLegendKey val="0"/>
          <c:showVal val="1"/>
          <c:showCatName val="0"/>
          <c:showSerName val="0"/>
          <c:showPercent val="0"/>
          <c:showBubbleSize val="0"/>
          <c:extLst>
            <c:ext xmlns:c15="http://schemas.microsoft.com/office/drawing/2012/chart" uri="{CE6537A1-D6FC-4f65-9D91-7224C49458BB}"/>
          </c:extLst>
        </c:dLbl>
      </c:pivotFmt>
      <c:pivotFmt>
        <c:idx val="28"/>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w="34925" cap="rnd">
            <a:solidFill>
              <a:schemeClr val="accent1"/>
            </a:solidFill>
            <a:round/>
          </a:ln>
          <a:effectLst>
            <a:outerShdw blurRad="57150" dist="19050" dir="5400000" algn="ctr" rotWithShape="0">
              <a:srgbClr val="000000">
                <a:alpha val="63000"/>
              </a:srgbClr>
            </a:outerShdw>
          </a:effectLst>
        </c:spPr>
        <c:marker>
          <c:symbol val="circle"/>
          <c:size val="6"/>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w="9525">
              <a:solidFill>
                <a:schemeClr val="accent1"/>
              </a:solidFill>
              <a:round/>
            </a:ln>
            <a:effectLst>
              <a:outerShdw blurRad="57150" dist="19050" dir="5400000" algn="ctr" rotWithShape="0">
                <a:srgbClr val="000000">
                  <a:alpha val="63000"/>
                </a:srgbClr>
              </a:outerShdw>
            </a:effectLst>
          </c:spPr>
        </c:marker>
        <c:dLbl>
          <c:idx val="0"/>
          <c:layout>
            <c:manualLayout>
              <c:x val="-7.6294282408507511E-2"/>
              <c:y val="0.10005653529159653"/>
            </c:manualLayout>
          </c:layout>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dLblPos val="r"/>
          <c:showLegendKey val="0"/>
          <c:showVal val="1"/>
          <c:showCatName val="0"/>
          <c:showSerName val="0"/>
          <c:showPercent val="0"/>
          <c:showBubbleSize val="0"/>
          <c:extLst>
            <c:ext xmlns:c15="http://schemas.microsoft.com/office/drawing/2012/chart" uri="{CE6537A1-D6FC-4f65-9D91-7224C49458BB}"/>
          </c:extLst>
        </c:dLbl>
      </c:pivotFmt>
      <c:pivotFmt>
        <c:idx val="29"/>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w="34925" cap="rnd">
            <a:solidFill>
              <a:schemeClr val="accent1"/>
            </a:solidFill>
            <a:round/>
          </a:ln>
          <a:effectLst>
            <a:outerShdw blurRad="57150" dist="19050" dir="5400000" algn="ctr" rotWithShape="0">
              <a:srgbClr val="000000">
                <a:alpha val="63000"/>
              </a:srgbClr>
            </a:outerShdw>
          </a:effectLst>
        </c:spPr>
        <c:marker>
          <c:symbol val="circle"/>
          <c:size val="6"/>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w="9525">
              <a:solidFill>
                <a:schemeClr val="accent1"/>
              </a:solidFill>
              <a:round/>
            </a:ln>
            <a:effectLst>
              <a:outerShdw blurRad="57150" dist="19050" dir="5400000" algn="ctr" rotWithShape="0">
                <a:srgbClr val="000000">
                  <a:alpha val="63000"/>
                </a:srgbClr>
              </a:outerShdw>
            </a:effectLst>
          </c:spPr>
        </c:marker>
        <c:dLbl>
          <c:idx val="0"/>
          <c:layout>
            <c:manualLayout>
              <c:x val="-0.10476402691608856"/>
              <c:y val="-4.5221878141026094E-2"/>
            </c:manualLayout>
          </c:layout>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dLblPos val="r"/>
          <c:showLegendKey val="0"/>
          <c:showVal val="1"/>
          <c:showCatName val="0"/>
          <c:showSerName val="0"/>
          <c:showPercent val="0"/>
          <c:showBubbleSize val="0"/>
          <c:extLst>
            <c:ext xmlns:c15="http://schemas.microsoft.com/office/drawing/2012/chart" uri="{CE6537A1-D6FC-4f65-9D91-7224C49458BB}"/>
          </c:extLst>
        </c:dLbl>
      </c:pivotFmt>
      <c:pivotFmt>
        <c:idx val="3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w="34925" cap="rnd">
            <a:solidFill>
              <a:schemeClr val="accent1"/>
            </a:solidFill>
            <a:round/>
          </a:ln>
          <a:effectLst>
            <a:outerShdw blurRad="57150" dist="19050" dir="5400000" algn="ctr" rotWithShape="0">
              <a:srgbClr val="000000">
                <a:alpha val="63000"/>
              </a:srgbClr>
            </a:outerShdw>
          </a:effectLst>
        </c:spPr>
        <c:marker>
          <c:symbol val="circle"/>
          <c:size val="6"/>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w="9525">
              <a:solidFill>
                <a:schemeClr val="accent1"/>
              </a:solidFill>
              <a:round/>
            </a:ln>
            <a:effectLst>
              <a:outerShdw blurRad="57150" dist="19050" dir="5400000" algn="ctr" rotWithShape="0">
                <a:srgbClr val="000000">
                  <a:alpha val="63000"/>
                </a:srgbClr>
              </a:outerShdw>
            </a:effectLst>
          </c:spPr>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dLblPos val="b"/>
          <c:showLegendKey val="0"/>
          <c:showVal val="1"/>
          <c:showCatName val="0"/>
          <c:showSerName val="0"/>
          <c:showPercent val="0"/>
          <c:showBubbleSize val="0"/>
          <c:extLst>
            <c:ext xmlns:c15="http://schemas.microsoft.com/office/drawing/2012/chart" uri="{CE6537A1-D6FC-4f65-9D91-7224C49458BB}"/>
          </c:extLst>
        </c:dLbl>
      </c:pivotFmt>
      <c:pivotFmt>
        <c:idx val="31"/>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w="34925" cap="rnd">
            <a:solidFill>
              <a:schemeClr val="accent1"/>
            </a:solidFill>
            <a:round/>
          </a:ln>
          <a:effectLst>
            <a:outerShdw blurRad="57150" dist="19050" dir="5400000" algn="ctr" rotWithShape="0">
              <a:srgbClr val="000000">
                <a:alpha val="63000"/>
              </a:srgbClr>
            </a:outerShdw>
          </a:effectLst>
        </c:spPr>
        <c:marker>
          <c:symbol val="circle"/>
          <c:size val="6"/>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w="9525">
              <a:solidFill>
                <a:schemeClr val="accent1"/>
              </a:solidFill>
              <a:round/>
            </a:ln>
            <a:effectLst>
              <a:outerShdw blurRad="57150" dist="19050" dir="5400000" algn="ctr" rotWithShape="0">
                <a:srgbClr val="000000">
                  <a:alpha val="63000"/>
                </a:srgbClr>
              </a:outerShdw>
            </a:effectLst>
          </c:spPr>
        </c:marker>
        <c:dLbl>
          <c:idx val="0"/>
          <c:layout>
            <c:manualLayout>
              <c:x val="-0.10476402691608856"/>
              <c:y val="-4.5221878141026094E-2"/>
            </c:manualLayout>
          </c:layout>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dLblPos val="r"/>
          <c:showLegendKey val="0"/>
          <c:showVal val="1"/>
          <c:showCatName val="0"/>
          <c:showSerName val="0"/>
          <c:showPercent val="0"/>
          <c:showBubbleSize val="0"/>
          <c:extLst>
            <c:ext xmlns:c15="http://schemas.microsoft.com/office/drawing/2012/chart" uri="{CE6537A1-D6FC-4f65-9D91-7224C49458BB}"/>
          </c:extLst>
        </c:dLbl>
      </c:pivotFmt>
      <c:pivotFmt>
        <c:idx val="32"/>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w="34925" cap="rnd">
            <a:solidFill>
              <a:schemeClr val="accent1"/>
            </a:solidFill>
            <a:round/>
          </a:ln>
          <a:effectLst>
            <a:outerShdw blurRad="57150" dist="19050" dir="5400000" algn="ctr" rotWithShape="0">
              <a:srgbClr val="000000">
                <a:alpha val="63000"/>
              </a:srgbClr>
            </a:outerShdw>
          </a:effectLst>
        </c:spPr>
        <c:marker>
          <c:symbol val="circle"/>
          <c:size val="6"/>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w="9525">
              <a:solidFill>
                <a:schemeClr val="accent1"/>
              </a:solidFill>
              <a:round/>
            </a:ln>
            <a:effectLst>
              <a:outerShdw blurRad="57150" dist="19050" dir="5400000" algn="ctr" rotWithShape="0">
                <a:srgbClr val="000000">
                  <a:alpha val="63000"/>
                </a:srgbClr>
              </a:outerShdw>
            </a:effectLst>
          </c:spPr>
        </c:marker>
        <c:dLbl>
          <c:idx val="0"/>
          <c:layout>
            <c:manualLayout>
              <c:x val="-7.6294282408507511E-2"/>
              <c:y val="0.10005653529159653"/>
            </c:manualLayout>
          </c:layout>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dLblPos val="r"/>
          <c:showLegendKey val="0"/>
          <c:showVal val="1"/>
          <c:showCatName val="0"/>
          <c:showSerName val="0"/>
          <c:showPercent val="0"/>
          <c:showBubbleSize val="0"/>
          <c:extLst>
            <c:ext xmlns:c15="http://schemas.microsoft.com/office/drawing/2012/chart" uri="{CE6537A1-D6FC-4f65-9D91-7224C49458BB}"/>
          </c:extLst>
        </c:dLbl>
      </c:pivotFmt>
      <c:pivotFmt>
        <c:idx val="33"/>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w="34925" cap="rnd">
            <a:solidFill>
              <a:schemeClr val="accent1"/>
            </a:solidFill>
            <a:round/>
          </a:ln>
          <a:effectLst>
            <a:outerShdw blurRad="57150" dist="19050" dir="5400000" algn="ctr" rotWithShape="0">
              <a:srgbClr val="000000">
                <a:alpha val="63000"/>
              </a:srgbClr>
            </a:outerShdw>
          </a:effectLst>
        </c:spPr>
        <c:marker>
          <c:symbol val="circle"/>
          <c:size val="6"/>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w="9525">
              <a:solidFill>
                <a:schemeClr val="accent1"/>
              </a:solidFill>
              <a:round/>
            </a:ln>
            <a:effectLst>
              <a:outerShdw blurRad="57150" dist="19050" dir="5400000" algn="ctr" rotWithShape="0">
                <a:srgbClr val="000000">
                  <a:alpha val="63000"/>
                </a:srgbClr>
              </a:outerShdw>
            </a:effectLst>
          </c:spPr>
        </c:marker>
        <c:dLbl>
          <c:idx val="0"/>
          <c:layout>
            <c:manualLayout>
              <c:x val="-5.5416469769614826E-2"/>
              <c:y val="-0.11624688026364155"/>
            </c:manualLayout>
          </c:layout>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dLblPos val="r"/>
          <c:showLegendKey val="0"/>
          <c:showVal val="1"/>
          <c:showCatName val="0"/>
          <c:showSerName val="0"/>
          <c:showPercent val="0"/>
          <c:showBubbleSize val="0"/>
          <c:extLst>
            <c:ext xmlns:c15="http://schemas.microsoft.com/office/drawing/2012/chart" uri="{CE6537A1-D6FC-4f65-9D91-7224C49458BB}"/>
          </c:extLst>
        </c:dLbl>
      </c:pivotFmt>
      <c:pivotFmt>
        <c:idx val="34"/>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w="34925" cap="rnd">
            <a:solidFill>
              <a:schemeClr val="accent1"/>
            </a:solidFill>
            <a:round/>
          </a:ln>
          <a:effectLst>
            <a:outerShdw blurRad="57150" dist="19050" dir="5400000" algn="ctr" rotWithShape="0">
              <a:srgbClr val="000000">
                <a:alpha val="63000"/>
              </a:srgbClr>
            </a:outerShdw>
          </a:effectLst>
        </c:spPr>
        <c:marker>
          <c:symbol val="circle"/>
          <c:size val="6"/>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w="9525">
              <a:solidFill>
                <a:schemeClr val="accent1"/>
              </a:solidFill>
              <a:round/>
            </a:ln>
            <a:effectLst>
              <a:outerShdw blurRad="57150" dist="19050" dir="5400000" algn="ctr" rotWithShape="0">
                <a:srgbClr val="000000">
                  <a:alpha val="63000"/>
                </a:srgbClr>
              </a:outerShdw>
            </a:effectLst>
          </c:spPr>
        </c:marker>
        <c:dLbl>
          <c:idx val="0"/>
          <c:layout>
            <c:manualLayout>
              <c:x val="-7.0600333506991367E-2"/>
              <c:y val="6.7772443417680392E-2"/>
            </c:manualLayout>
          </c:layout>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dLblPos val="r"/>
          <c:showLegendKey val="0"/>
          <c:showVal val="1"/>
          <c:showCatName val="0"/>
          <c:showSerName val="0"/>
          <c:showPercent val="0"/>
          <c:showBubbleSize val="0"/>
          <c:extLst>
            <c:ext xmlns:c15="http://schemas.microsoft.com/office/drawing/2012/chart" uri="{CE6537A1-D6FC-4f65-9D91-7224C49458BB}"/>
          </c:extLst>
        </c:dLbl>
      </c:pivotFmt>
      <c:pivotFmt>
        <c:idx val="35"/>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w="34925" cap="rnd">
            <a:solidFill>
              <a:schemeClr val="accent1"/>
            </a:solidFill>
            <a:round/>
          </a:ln>
          <a:effectLst>
            <a:outerShdw blurRad="57150" dist="19050" dir="5400000" algn="ctr" rotWithShape="0">
              <a:srgbClr val="000000">
                <a:alpha val="63000"/>
              </a:srgbClr>
            </a:outerShdw>
          </a:effectLst>
        </c:spPr>
        <c:marker>
          <c:symbol val="circle"/>
          <c:size val="6"/>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w="9525">
              <a:solidFill>
                <a:schemeClr val="accent1"/>
              </a:solidFill>
              <a:round/>
            </a:ln>
            <a:effectLst>
              <a:outerShdw blurRad="57150" dist="19050" dir="5400000" algn="ctr" rotWithShape="0">
                <a:srgbClr val="000000">
                  <a:alpha val="63000"/>
                </a:srgbClr>
              </a:outerShdw>
            </a:effectLst>
          </c:spPr>
        </c:marker>
        <c:dLbl>
          <c:idx val="0"/>
          <c:layout>
            <c:manualLayout>
              <c:x val="-6.8702350539819379E-2"/>
              <c:y val="-8.7191197577117033E-2"/>
            </c:manualLayout>
          </c:layout>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dLblPos val="r"/>
          <c:showLegendKey val="0"/>
          <c:showVal val="1"/>
          <c:showCatName val="0"/>
          <c:showSerName val="0"/>
          <c:showPercent val="0"/>
          <c:showBubbleSize val="0"/>
          <c:extLst>
            <c:ext xmlns:c15="http://schemas.microsoft.com/office/drawing/2012/chart" uri="{CE6537A1-D6FC-4f65-9D91-7224C49458BB}"/>
          </c:extLst>
        </c:dLbl>
      </c:pivotFmt>
      <c:pivotFmt>
        <c:idx val="36"/>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w="34925" cap="rnd">
            <a:solidFill>
              <a:schemeClr val="accent1"/>
            </a:solidFill>
            <a:round/>
          </a:ln>
          <a:effectLst>
            <a:outerShdw blurRad="57150" dist="19050" dir="5400000" algn="ctr" rotWithShape="0">
              <a:srgbClr val="000000">
                <a:alpha val="63000"/>
              </a:srgbClr>
            </a:outerShdw>
          </a:effectLst>
        </c:spPr>
        <c:marker>
          <c:symbol val="circle"/>
          <c:size val="6"/>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w="9525">
              <a:solidFill>
                <a:schemeClr val="accent1"/>
              </a:solidFill>
              <a:round/>
            </a:ln>
            <a:effectLst>
              <a:outerShdw blurRad="57150" dist="19050" dir="5400000" algn="ctr" rotWithShape="0">
                <a:srgbClr val="000000">
                  <a:alpha val="63000"/>
                </a:srgbClr>
              </a:outerShdw>
            </a:effectLst>
          </c:spPr>
        </c:marker>
        <c:dLbl>
          <c:idx val="0"/>
          <c:layout>
            <c:manualLayout>
              <c:x val="-6.870235053981924E-2"/>
              <c:y val="8.0686080167246849E-2"/>
            </c:manualLayout>
          </c:layout>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dLblPos val="r"/>
          <c:showLegendKey val="0"/>
          <c:showVal val="1"/>
          <c:showCatName val="0"/>
          <c:showSerName val="0"/>
          <c:showPercent val="0"/>
          <c:showBubbleSize val="0"/>
          <c:extLst>
            <c:ext xmlns:c15="http://schemas.microsoft.com/office/drawing/2012/chart" uri="{CE6537A1-D6FC-4f65-9D91-7224C49458BB}"/>
          </c:extLst>
        </c:dLbl>
      </c:pivotFmt>
      <c:pivotFmt>
        <c:idx val="37"/>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w="34925" cap="rnd">
            <a:solidFill>
              <a:schemeClr val="accent1"/>
            </a:solidFill>
            <a:round/>
          </a:ln>
          <a:effectLst>
            <a:outerShdw blurRad="57150" dist="19050" dir="5400000" algn="ctr" rotWithShape="0">
              <a:srgbClr val="000000">
                <a:alpha val="63000"/>
              </a:srgbClr>
            </a:outerShdw>
          </a:effectLst>
        </c:spPr>
        <c:marker>
          <c:symbol val="circle"/>
          <c:size val="6"/>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w="9525">
              <a:solidFill>
                <a:schemeClr val="accent1"/>
              </a:solidFill>
              <a:round/>
            </a:ln>
            <a:effectLst>
              <a:outerShdw blurRad="57150" dist="19050" dir="5400000" algn="ctr" rotWithShape="0">
                <a:srgbClr val="000000">
                  <a:alpha val="63000"/>
                </a:srgbClr>
              </a:outerShdw>
            </a:effectLst>
          </c:spPr>
        </c:marker>
        <c:dLbl>
          <c:idx val="0"/>
          <c:layout>
            <c:manualLayout>
              <c:x val="-2.5793140181435217E-2"/>
              <c:y val="-0.10010483432668354"/>
            </c:manualLayout>
          </c:layout>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dLblPos val="r"/>
          <c:showLegendKey val="0"/>
          <c:showVal val="1"/>
          <c:showCatName val="0"/>
          <c:showSerName val="0"/>
          <c:showPercent val="0"/>
          <c:showBubbleSize val="0"/>
          <c:extLst>
            <c:ext xmlns:c15="http://schemas.microsoft.com/office/drawing/2012/chart" uri="{CE6537A1-D6FC-4f65-9D91-7224C49458BB}"/>
          </c:extLst>
        </c:dLbl>
      </c:pivotFmt>
      <c:pivotFmt>
        <c:idx val="38"/>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w="34925" cap="rnd">
            <a:solidFill>
              <a:schemeClr val="accent1"/>
            </a:solidFill>
            <a:round/>
          </a:ln>
          <a:effectLst>
            <a:outerShdw blurRad="57150" dist="19050" dir="5400000" algn="ctr" rotWithShape="0">
              <a:srgbClr val="000000">
                <a:alpha val="63000"/>
              </a:srgbClr>
            </a:outerShdw>
          </a:effectLst>
        </c:spPr>
        <c:marker>
          <c:symbol val="circle"/>
          <c:size val="6"/>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w="9525">
              <a:solidFill>
                <a:schemeClr val="accent1"/>
              </a:solidFill>
              <a:round/>
            </a:ln>
            <a:effectLst>
              <a:outerShdw blurRad="57150" dist="19050" dir="5400000" algn="ctr" rotWithShape="0">
                <a:srgbClr val="000000">
                  <a:alpha val="63000"/>
                </a:srgbClr>
              </a:outerShdw>
            </a:effectLst>
          </c:spPr>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dLblPos val="b"/>
          <c:showLegendKey val="0"/>
          <c:showVal val="1"/>
          <c:showCatName val="0"/>
          <c:showSerName val="0"/>
          <c:showPercent val="0"/>
          <c:showBubbleSize val="0"/>
          <c:extLst>
            <c:ext xmlns:c15="http://schemas.microsoft.com/office/drawing/2012/chart" uri="{CE6537A1-D6FC-4f65-9D91-7224C49458BB}"/>
          </c:extLst>
        </c:dLbl>
      </c:pivotFmt>
      <c:pivotFmt>
        <c:idx val="39"/>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w="34925" cap="rnd">
            <a:solidFill>
              <a:schemeClr val="accent1"/>
            </a:solidFill>
            <a:round/>
          </a:ln>
          <a:effectLst>
            <a:outerShdw blurRad="57150" dist="19050" dir="5400000" algn="ctr" rotWithShape="0">
              <a:srgbClr val="000000">
                <a:alpha val="63000"/>
              </a:srgbClr>
            </a:outerShdw>
          </a:effectLst>
        </c:spPr>
        <c:marker>
          <c:symbol val="circle"/>
          <c:size val="6"/>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w="9525">
              <a:solidFill>
                <a:schemeClr val="accent1"/>
              </a:solidFill>
              <a:round/>
            </a:ln>
            <a:effectLst>
              <a:outerShdw blurRad="57150" dist="19050" dir="5400000" algn="ctr" rotWithShape="0">
                <a:srgbClr val="000000">
                  <a:alpha val="63000"/>
                </a:srgbClr>
              </a:outerShdw>
            </a:effectLst>
          </c:spPr>
        </c:marker>
        <c:dLbl>
          <c:idx val="0"/>
          <c:layout>
            <c:manualLayout>
              <c:x val="-0.10476402691608856"/>
              <c:y val="-4.5221878141026094E-2"/>
            </c:manualLayout>
          </c:layout>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dLblPos val="r"/>
          <c:showLegendKey val="0"/>
          <c:showVal val="1"/>
          <c:showCatName val="0"/>
          <c:showSerName val="0"/>
          <c:showPercent val="0"/>
          <c:showBubbleSize val="0"/>
          <c:extLst>
            <c:ext xmlns:c15="http://schemas.microsoft.com/office/drawing/2012/chart" uri="{CE6537A1-D6FC-4f65-9D91-7224C49458BB}"/>
          </c:extLst>
        </c:dLbl>
      </c:pivotFmt>
      <c:pivotFmt>
        <c:idx val="4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w="34925" cap="rnd">
            <a:solidFill>
              <a:schemeClr val="accent1"/>
            </a:solidFill>
            <a:round/>
          </a:ln>
          <a:effectLst>
            <a:outerShdw blurRad="57150" dist="19050" dir="5400000" algn="ctr" rotWithShape="0">
              <a:srgbClr val="000000">
                <a:alpha val="63000"/>
              </a:srgbClr>
            </a:outerShdw>
          </a:effectLst>
        </c:spPr>
        <c:marker>
          <c:symbol val="circle"/>
          <c:size val="6"/>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w="9525">
              <a:solidFill>
                <a:schemeClr val="accent1"/>
              </a:solidFill>
              <a:round/>
            </a:ln>
            <a:effectLst>
              <a:outerShdw blurRad="57150" dist="19050" dir="5400000" algn="ctr" rotWithShape="0">
                <a:srgbClr val="000000">
                  <a:alpha val="63000"/>
                </a:srgbClr>
              </a:outerShdw>
            </a:effectLst>
          </c:spPr>
        </c:marker>
        <c:dLbl>
          <c:idx val="0"/>
          <c:layout>
            <c:manualLayout>
              <c:x val="-7.6294282408507511E-2"/>
              <c:y val="0.10005653529159653"/>
            </c:manualLayout>
          </c:layout>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dLblPos val="r"/>
          <c:showLegendKey val="0"/>
          <c:showVal val="1"/>
          <c:showCatName val="0"/>
          <c:showSerName val="0"/>
          <c:showPercent val="0"/>
          <c:showBubbleSize val="0"/>
          <c:extLst>
            <c:ext xmlns:c15="http://schemas.microsoft.com/office/drawing/2012/chart" uri="{CE6537A1-D6FC-4f65-9D91-7224C49458BB}"/>
          </c:extLst>
        </c:dLbl>
      </c:pivotFmt>
      <c:pivotFmt>
        <c:idx val="41"/>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w="34925" cap="rnd">
            <a:solidFill>
              <a:schemeClr val="accent1"/>
            </a:solidFill>
            <a:round/>
          </a:ln>
          <a:effectLst>
            <a:outerShdw blurRad="57150" dist="19050" dir="5400000" algn="ctr" rotWithShape="0">
              <a:srgbClr val="000000">
                <a:alpha val="63000"/>
              </a:srgbClr>
            </a:outerShdw>
          </a:effectLst>
        </c:spPr>
        <c:marker>
          <c:symbol val="circle"/>
          <c:size val="6"/>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w="9525">
              <a:solidFill>
                <a:schemeClr val="accent1"/>
              </a:solidFill>
              <a:round/>
            </a:ln>
            <a:effectLst>
              <a:outerShdw blurRad="57150" dist="19050" dir="5400000" algn="ctr" rotWithShape="0">
                <a:srgbClr val="000000">
                  <a:alpha val="63000"/>
                </a:srgbClr>
              </a:outerShdw>
            </a:effectLst>
          </c:spPr>
        </c:marker>
        <c:dLbl>
          <c:idx val="0"/>
          <c:layout>
            <c:manualLayout>
              <c:x val="-5.5416469769614826E-2"/>
              <c:y val="-0.11624688026364155"/>
            </c:manualLayout>
          </c:layout>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dLblPos val="r"/>
          <c:showLegendKey val="0"/>
          <c:showVal val="1"/>
          <c:showCatName val="0"/>
          <c:showSerName val="0"/>
          <c:showPercent val="0"/>
          <c:showBubbleSize val="0"/>
          <c:extLst>
            <c:ext xmlns:c15="http://schemas.microsoft.com/office/drawing/2012/chart" uri="{CE6537A1-D6FC-4f65-9D91-7224C49458BB}"/>
          </c:extLst>
        </c:dLbl>
      </c:pivotFmt>
      <c:pivotFmt>
        <c:idx val="42"/>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w="34925" cap="rnd">
            <a:solidFill>
              <a:schemeClr val="accent1"/>
            </a:solidFill>
            <a:round/>
          </a:ln>
          <a:effectLst>
            <a:outerShdw blurRad="57150" dist="19050" dir="5400000" algn="ctr" rotWithShape="0">
              <a:srgbClr val="000000">
                <a:alpha val="63000"/>
              </a:srgbClr>
            </a:outerShdw>
          </a:effectLst>
        </c:spPr>
        <c:marker>
          <c:symbol val="circle"/>
          <c:size val="6"/>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w="9525">
              <a:solidFill>
                <a:schemeClr val="accent1"/>
              </a:solidFill>
              <a:round/>
            </a:ln>
            <a:effectLst>
              <a:outerShdw blurRad="57150" dist="19050" dir="5400000" algn="ctr" rotWithShape="0">
                <a:srgbClr val="000000">
                  <a:alpha val="63000"/>
                </a:srgbClr>
              </a:outerShdw>
            </a:effectLst>
          </c:spPr>
        </c:marker>
        <c:dLbl>
          <c:idx val="0"/>
          <c:layout>
            <c:manualLayout>
              <c:x val="-7.0600333506991367E-2"/>
              <c:y val="6.7772443417680392E-2"/>
            </c:manualLayout>
          </c:layout>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dLblPos val="r"/>
          <c:showLegendKey val="0"/>
          <c:showVal val="1"/>
          <c:showCatName val="0"/>
          <c:showSerName val="0"/>
          <c:showPercent val="0"/>
          <c:showBubbleSize val="0"/>
          <c:extLst>
            <c:ext xmlns:c15="http://schemas.microsoft.com/office/drawing/2012/chart" uri="{CE6537A1-D6FC-4f65-9D91-7224C49458BB}"/>
          </c:extLst>
        </c:dLbl>
      </c:pivotFmt>
      <c:pivotFmt>
        <c:idx val="43"/>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w="34925" cap="rnd">
            <a:solidFill>
              <a:schemeClr val="accent1"/>
            </a:solidFill>
            <a:round/>
          </a:ln>
          <a:effectLst>
            <a:outerShdw blurRad="57150" dist="19050" dir="5400000" algn="ctr" rotWithShape="0">
              <a:srgbClr val="000000">
                <a:alpha val="63000"/>
              </a:srgbClr>
            </a:outerShdw>
          </a:effectLst>
        </c:spPr>
        <c:marker>
          <c:symbol val="circle"/>
          <c:size val="6"/>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w="9525">
              <a:solidFill>
                <a:schemeClr val="accent1"/>
              </a:solidFill>
              <a:round/>
            </a:ln>
            <a:effectLst>
              <a:outerShdw blurRad="57150" dist="19050" dir="5400000" algn="ctr" rotWithShape="0">
                <a:srgbClr val="000000">
                  <a:alpha val="63000"/>
                </a:srgbClr>
              </a:outerShdw>
            </a:effectLst>
          </c:spPr>
        </c:marker>
        <c:dLbl>
          <c:idx val="0"/>
          <c:layout>
            <c:manualLayout>
              <c:x val="-6.8702350539819379E-2"/>
              <c:y val="-8.7191197577117033E-2"/>
            </c:manualLayout>
          </c:layout>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dLblPos val="r"/>
          <c:showLegendKey val="0"/>
          <c:showVal val="1"/>
          <c:showCatName val="0"/>
          <c:showSerName val="0"/>
          <c:showPercent val="0"/>
          <c:showBubbleSize val="0"/>
          <c:extLst>
            <c:ext xmlns:c15="http://schemas.microsoft.com/office/drawing/2012/chart" uri="{CE6537A1-D6FC-4f65-9D91-7224C49458BB}"/>
          </c:extLst>
        </c:dLbl>
      </c:pivotFmt>
      <c:pivotFmt>
        <c:idx val="44"/>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w="34925" cap="rnd">
            <a:solidFill>
              <a:schemeClr val="accent1"/>
            </a:solidFill>
            <a:round/>
          </a:ln>
          <a:effectLst>
            <a:outerShdw blurRad="57150" dist="19050" dir="5400000" algn="ctr" rotWithShape="0">
              <a:srgbClr val="000000">
                <a:alpha val="63000"/>
              </a:srgbClr>
            </a:outerShdw>
          </a:effectLst>
        </c:spPr>
        <c:marker>
          <c:symbol val="circle"/>
          <c:size val="6"/>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w="9525">
              <a:solidFill>
                <a:schemeClr val="accent1"/>
              </a:solidFill>
              <a:round/>
            </a:ln>
            <a:effectLst>
              <a:outerShdw blurRad="57150" dist="19050" dir="5400000" algn="ctr" rotWithShape="0">
                <a:srgbClr val="000000">
                  <a:alpha val="63000"/>
                </a:srgbClr>
              </a:outerShdw>
            </a:effectLst>
          </c:spPr>
        </c:marker>
        <c:dLbl>
          <c:idx val="0"/>
          <c:layout>
            <c:manualLayout>
              <c:x val="-6.870235053981924E-2"/>
              <c:y val="8.0686080167246849E-2"/>
            </c:manualLayout>
          </c:layout>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dLblPos val="r"/>
          <c:showLegendKey val="0"/>
          <c:showVal val="1"/>
          <c:showCatName val="0"/>
          <c:showSerName val="0"/>
          <c:showPercent val="0"/>
          <c:showBubbleSize val="0"/>
          <c:extLst>
            <c:ext xmlns:c15="http://schemas.microsoft.com/office/drawing/2012/chart" uri="{CE6537A1-D6FC-4f65-9D91-7224C49458BB}"/>
          </c:extLst>
        </c:dLbl>
      </c:pivotFmt>
      <c:pivotFmt>
        <c:idx val="45"/>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w="34925" cap="rnd">
            <a:solidFill>
              <a:schemeClr val="accent1"/>
            </a:solidFill>
            <a:round/>
          </a:ln>
          <a:effectLst>
            <a:outerShdw blurRad="57150" dist="19050" dir="5400000" algn="ctr" rotWithShape="0">
              <a:srgbClr val="000000">
                <a:alpha val="63000"/>
              </a:srgbClr>
            </a:outerShdw>
          </a:effectLst>
        </c:spPr>
        <c:marker>
          <c:symbol val="circle"/>
          <c:size val="6"/>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w="9525">
              <a:solidFill>
                <a:schemeClr val="accent1"/>
              </a:solidFill>
              <a:round/>
            </a:ln>
            <a:effectLst>
              <a:outerShdw blurRad="57150" dist="19050" dir="5400000" algn="ctr" rotWithShape="0">
                <a:srgbClr val="000000">
                  <a:alpha val="63000"/>
                </a:srgbClr>
              </a:outerShdw>
            </a:effectLst>
          </c:spPr>
        </c:marker>
        <c:dLbl>
          <c:idx val="0"/>
          <c:layout>
            <c:manualLayout>
              <c:x val="-2.5793140181435217E-2"/>
              <c:y val="-0.10010483432668354"/>
            </c:manualLayout>
          </c:layout>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dLblPos val="r"/>
          <c:showLegendKey val="0"/>
          <c:showVal val="1"/>
          <c:showCatName val="0"/>
          <c:showSerName val="0"/>
          <c:showPercent val="0"/>
          <c:showBubbleSize val="0"/>
          <c:extLst>
            <c:ext xmlns:c15="http://schemas.microsoft.com/office/drawing/2012/chart" uri="{CE6537A1-D6FC-4f65-9D91-7224C49458BB}"/>
          </c:extLst>
        </c:dLbl>
      </c:pivotFmt>
    </c:pivotFmts>
    <c:plotArea>
      <c:layout/>
      <c:lineChart>
        <c:grouping val="stacked"/>
        <c:varyColors val="0"/>
        <c:ser>
          <c:idx val="0"/>
          <c:order val="0"/>
          <c:tx>
            <c:strRef>
              <c:f>'Revenue Per Year'!$B$3</c:f>
              <c:strCache>
                <c:ptCount val="1"/>
                <c:pt idx="0">
                  <c:v>Total</c:v>
                </c:pt>
              </c:strCache>
            </c:strRef>
          </c:tx>
          <c:spPr>
            <a:ln w="34925" cap="rnd">
              <a:solidFill>
                <a:schemeClr val="accent1"/>
              </a:solidFill>
              <a:round/>
            </a:ln>
            <a:effectLst>
              <a:outerShdw blurRad="57150" dist="19050" dir="5400000" algn="ctr" rotWithShape="0">
                <a:srgbClr val="000000">
                  <a:alpha val="63000"/>
                </a:srgbClr>
              </a:outerShdw>
            </a:effectLst>
          </c:spPr>
          <c:marker>
            <c:symbol val="circle"/>
            <c:size val="6"/>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w="9525">
                <a:solidFill>
                  <a:schemeClr val="accent1"/>
                </a:solidFill>
                <a:round/>
              </a:ln>
              <a:effectLst>
                <a:outerShdw blurRad="57150" dist="19050" dir="5400000" algn="ctr" rotWithShape="0">
                  <a:srgbClr val="000000">
                    <a:alpha val="63000"/>
                  </a:srgbClr>
                </a:outerShdw>
              </a:effectLst>
            </c:spPr>
          </c:marker>
          <c:dLbls>
            <c:dLbl>
              <c:idx val="1"/>
              <c:layout>
                <c:manualLayout>
                  <c:x val="-0.10476402691608856"/>
                  <c:y val="-4.522187814102609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C913-4798-99B6-09BA40AB41E1}"/>
                </c:ext>
              </c:extLst>
            </c:dLbl>
            <c:dLbl>
              <c:idx val="2"/>
              <c:layout>
                <c:manualLayout>
                  <c:x val="-7.6294282408507511E-2"/>
                  <c:y val="0.1000565352915965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C913-4798-99B6-09BA40AB41E1}"/>
                </c:ext>
              </c:extLst>
            </c:dLbl>
            <c:dLbl>
              <c:idx val="3"/>
              <c:layout>
                <c:manualLayout>
                  <c:x val="-5.5416469769614826E-2"/>
                  <c:y val="-0.11624688026364155"/>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C913-4798-99B6-09BA40AB41E1}"/>
                </c:ext>
              </c:extLst>
            </c:dLbl>
            <c:dLbl>
              <c:idx val="4"/>
              <c:layout>
                <c:manualLayout>
                  <c:x val="-7.0600333506991367E-2"/>
                  <c:y val="6.777244341768039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C913-4798-99B6-09BA40AB41E1}"/>
                </c:ext>
              </c:extLst>
            </c:dLbl>
            <c:dLbl>
              <c:idx val="5"/>
              <c:layout>
                <c:manualLayout>
                  <c:x val="-6.8702350539819379E-2"/>
                  <c:y val="-8.719119757711703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C913-4798-99B6-09BA40AB41E1}"/>
                </c:ext>
              </c:extLst>
            </c:dLbl>
            <c:dLbl>
              <c:idx val="6"/>
              <c:layout>
                <c:manualLayout>
                  <c:x val="-6.870235053981924E-2"/>
                  <c:y val="8.068608016724684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C913-4798-99B6-09BA40AB41E1}"/>
                </c:ext>
              </c:extLst>
            </c:dLbl>
            <c:dLbl>
              <c:idx val="7"/>
              <c:layout>
                <c:manualLayout>
                  <c:x val="-2.5793140181435217E-2"/>
                  <c:y val="-0.10010483432668354"/>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C913-4798-99B6-09BA40AB41E1}"/>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dLblPos val="b"/>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multiLvlStrRef>
              <c:f>'Revenue Per Year'!$A$4:$A$13</c:f>
              <c:multiLvlStrCache>
                <c:ptCount val="8"/>
                <c:lvl>
                  <c:pt idx="0">
                    <c:v>2012</c:v>
                  </c:pt>
                  <c:pt idx="1">
                    <c:v>2013</c:v>
                  </c:pt>
                  <c:pt idx="2">
                    <c:v>2014</c:v>
                  </c:pt>
                  <c:pt idx="3">
                    <c:v>2015</c:v>
                  </c:pt>
                  <c:pt idx="4">
                    <c:v>2016</c:v>
                  </c:pt>
                  <c:pt idx="5">
                    <c:v>2017</c:v>
                  </c:pt>
                  <c:pt idx="6">
                    <c:v>2018</c:v>
                  </c:pt>
                  <c:pt idx="7">
                    <c:v>2019</c:v>
                  </c:pt>
                </c:lvl>
                <c:lvl>
                  <c:pt idx="0">
                    <c:v>P  </c:v>
                  </c:pt>
                </c:lvl>
              </c:multiLvlStrCache>
            </c:multiLvlStrRef>
          </c:cat>
          <c:val>
            <c:numRef>
              <c:f>'Revenue Per Year'!$B$4:$B$13</c:f>
              <c:numCache>
                <c:formatCode>_("$"* #,##0.00_);_("$"* \(#,##0.00\);_("$"* "-"??_);_(@_)</c:formatCode>
                <c:ptCount val="8"/>
                <c:pt idx="0">
                  <c:v>1136268.0600000003</c:v>
                </c:pt>
                <c:pt idx="1">
                  <c:v>2691485.6</c:v>
                </c:pt>
                <c:pt idx="2">
                  <c:v>2349857.8500000006</c:v>
                </c:pt>
                <c:pt idx="3">
                  <c:v>1271619.0000000002</c:v>
                </c:pt>
                <c:pt idx="4">
                  <c:v>1344000.4499999995</c:v>
                </c:pt>
                <c:pt idx="5">
                  <c:v>1863321.6000000003</c:v>
                </c:pt>
                <c:pt idx="6">
                  <c:v>1319716.5799999998</c:v>
                </c:pt>
                <c:pt idx="7">
                  <c:v>1656677.2499999998</c:v>
                </c:pt>
              </c:numCache>
            </c:numRef>
          </c:val>
          <c:smooth val="0"/>
          <c:extLst>
            <c:ext xmlns:c16="http://schemas.microsoft.com/office/drawing/2014/chart" uri="{C3380CC4-5D6E-409C-BE32-E72D297353CC}">
              <c16:uniqueId val="{00000007-C913-4798-99B6-09BA40AB41E1}"/>
            </c:ext>
          </c:extLst>
        </c:ser>
        <c:dLbls>
          <c:dLblPos val="b"/>
          <c:showLegendKey val="0"/>
          <c:showVal val="1"/>
          <c:showCatName val="0"/>
          <c:showSerName val="0"/>
          <c:showPercent val="0"/>
          <c:showBubbleSize val="0"/>
        </c:dLbls>
        <c:marker val="1"/>
        <c:smooth val="0"/>
        <c:axId val="471990568"/>
        <c:axId val="471990240"/>
      </c:lineChart>
      <c:catAx>
        <c:axId val="471990568"/>
        <c:scaling>
          <c:orientation val="minMax"/>
        </c:scaling>
        <c:delete val="0"/>
        <c:axPos val="b"/>
        <c:numFmt formatCode="General" sourceLinked="1"/>
        <c:majorTickMark val="none"/>
        <c:minorTickMark val="none"/>
        <c:tickLblPos val="nextTo"/>
        <c:spPr>
          <a:noFill/>
          <a:ln w="9525">
            <a:solidFill>
              <a:schemeClr val="lt1">
                <a:lumMod val="95000"/>
                <a:alpha val="10000"/>
              </a:schemeClr>
            </a:solidFill>
            <a:round/>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471990240"/>
        <c:crosses val="autoZero"/>
        <c:auto val="1"/>
        <c:lblAlgn val="ctr"/>
        <c:lblOffset val="100"/>
        <c:noMultiLvlLbl val="0"/>
      </c:catAx>
      <c:valAx>
        <c:axId val="471990240"/>
        <c:scaling>
          <c:orientation val="minMax"/>
        </c:scaling>
        <c:delete val="0"/>
        <c:axPos val="l"/>
        <c:majorGridlines>
          <c:spPr>
            <a:ln w="9525">
              <a:solidFill>
                <a:schemeClr val="lt1">
                  <a:lumMod val="95000"/>
                  <a:alpha val="10000"/>
                </a:schemeClr>
              </a:solidFill>
              <a:round/>
            </a:ln>
            <a:effectLst/>
          </c:spPr>
        </c:majorGridlines>
        <c:numFmt formatCode="_(&quot;$&quot;* #,##0.00_);_(&quot;$&quot;* \(#,##0.00\);_(&quot;$&quot;* &quot;-&quot;??_);_(@_)"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471990568"/>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gradFill rotWithShape="1">
      <a:gsLst>
        <a:gs pos="0">
          <a:schemeClr val="dk1">
            <a:lumMod val="65000"/>
            <a:lumOff val="35000"/>
          </a:schemeClr>
        </a:gs>
        <a:gs pos="100000">
          <a:schemeClr val="dk1">
            <a:lumMod val="85000"/>
            <a:lumOff val="15000"/>
          </a:schemeClr>
        </a:gs>
      </a:gsLst>
      <a:path path="circle">
        <a:fillToRect l="50000" t="50000" r="50000" b="50000"/>
      </a:path>
    </a:gradFill>
    <a:ln>
      <a:noFill/>
    </a:ln>
    <a:effectLst/>
  </c:spPr>
  <c:txPr>
    <a:bodyPr/>
    <a:lstStyle/>
    <a:p>
      <a:pPr>
        <a:defRPr/>
      </a:pPr>
      <a:endParaRPr lang="en-US"/>
    </a:p>
  </c:txPr>
  <c:externalData r:id="rId3">
    <c:autoUpdate val="0"/>
  </c:externalData>
  <c:extLst>
    <c:ext xmlns:c14="http://schemas.microsoft.com/office/drawing/2007/8/2/chart" uri="{781A3756-C4B2-4CAC-9D66-4F8BD8637D16}">
      <c14:pivotOptions>
        <c14:dropZoneFilter val="1"/>
        <c14:dropZoneCategories val="1"/>
        <c14:dropZoneData val="1"/>
        <c14:dropZonesVisible val="1"/>
      </c14:pivotOptions>
    </c:ext>
    <c:ext xmlns:c16="http://schemas.microsoft.com/office/drawing/2014/chart" uri="{E28EC0CA-F0BB-4C9C-879D-F8772B89E7AC}">
      <c16:pivotOptions16>
        <c16:showExpandCollapseFieldButtons val="1"/>
      </c16:pivotOptions16>
    </c:ext>
  </c:extLst>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pivotSource>
    <c:name>[Durdella - Sales Data for Research Project (Company P).xlsx]Revenue by Distribution Channel!PivotTable8</c:name>
    <c:fmtId val="-1"/>
  </c:pivotSource>
  <c:chart>
    <c:title>
      <c:tx>
        <c:rich>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r>
              <a:rPr lang="en-US"/>
              <a:t>Revenue by Distribution Channel for Company 'P'</a:t>
            </a:r>
          </a:p>
        </c:rich>
      </c:tx>
      <c:layout>
        <c:manualLayout>
          <c:xMode val="edge"/>
          <c:yMode val="edge"/>
          <c:x val="0.2053995285751003"/>
          <c:y val="3.9770452422260787E-2"/>
        </c:manualLayout>
      </c:layout>
      <c:overlay val="0"/>
      <c:spPr>
        <a:noFill/>
        <a:ln>
          <a:noFill/>
        </a:ln>
        <a:effectLst/>
      </c:spPr>
      <c:txPr>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endParaRPr lang="en-US"/>
        </a:p>
      </c:txPr>
    </c:title>
    <c:autoTitleDeleted val="0"/>
    <c:pivotFmts>
      <c:pivotFmt>
        <c:idx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marker>
          <c:symbol val="none"/>
        </c:marker>
        <c:dLbl>
          <c:idx val="0"/>
          <c:spPr>
            <a:solidFill>
              <a:sysClr val="window" lastClr="FFFFFF"/>
            </a:solidFill>
            <a:ln>
              <a:no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showLegendKey val="0"/>
          <c:showVal val="1"/>
          <c:showCatName val="1"/>
          <c:showSerName val="0"/>
          <c:showPercent val="0"/>
          <c:showBubbleSize val="0"/>
          <c:extLst>
            <c:ext xmlns:c15="http://schemas.microsoft.com/office/drawing/2012/chart" uri="{CE6537A1-D6FC-4f65-9D91-7224C49458BB}"/>
          </c:extLst>
        </c:dLbl>
      </c:pivotFmt>
      <c:pivotFmt>
        <c:idx val="1"/>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marker>
          <c:symbol val="none"/>
        </c:marker>
        <c:dLbl>
          <c:idx val="0"/>
          <c:spPr>
            <a:solidFill>
              <a:sysClr val="window" lastClr="FFFFFF"/>
            </a:solidFill>
            <a:ln>
              <a:no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showLegendKey val="0"/>
          <c:showVal val="1"/>
          <c:showCatName val="1"/>
          <c:showSerName val="0"/>
          <c:showPercent val="0"/>
          <c:showBubbleSize val="0"/>
          <c:extLst>
            <c:ext xmlns:c15="http://schemas.microsoft.com/office/drawing/2012/chart" uri="{CE6537A1-D6FC-4f65-9D91-7224C49458BB}"/>
          </c:extLst>
        </c:dLbl>
      </c:pivotFmt>
      <c:pivotFmt>
        <c:idx val="2"/>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marker>
          <c:symbol val="none"/>
        </c:marker>
        <c:dLbl>
          <c:idx val="0"/>
          <c:spPr>
            <a:solidFill>
              <a:sysClr val="window" lastClr="FFFFFF"/>
            </a:solidFill>
            <a:ln>
              <a:no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showLegendKey val="0"/>
          <c:showVal val="1"/>
          <c:showCatName val="1"/>
          <c:showSerName val="0"/>
          <c:showPercent val="0"/>
          <c:showBubbleSize val="0"/>
          <c:extLst>
            <c:ext xmlns:c15="http://schemas.microsoft.com/office/drawing/2012/chart" uri="{CE6537A1-D6FC-4f65-9D91-7224C49458BB}"/>
          </c:extLst>
        </c:dLbl>
      </c:pivotFmt>
    </c:pivotFmts>
    <c:plotArea>
      <c:layout>
        <c:manualLayout>
          <c:layoutTarget val="inner"/>
          <c:xMode val="edge"/>
          <c:yMode val="edge"/>
          <c:x val="0.13688462519221409"/>
          <c:y val="0.25469964664310957"/>
          <c:w val="0.78706041896872803"/>
          <c:h val="0.6124463240681487"/>
        </c:manualLayout>
      </c:layout>
      <c:barChart>
        <c:barDir val="col"/>
        <c:grouping val="clustered"/>
        <c:varyColors val="0"/>
        <c:ser>
          <c:idx val="0"/>
          <c:order val="0"/>
          <c:tx>
            <c:strRef>
              <c:f>'Revenue by Distribution Channel'!$B$3</c:f>
              <c:strCache>
                <c:ptCount val="1"/>
                <c:pt idx="0">
                  <c:v>Total</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solidFill>
                <a:sysClr val="window" lastClr="FFFFFF"/>
              </a:solidFill>
              <a:ln>
                <a:no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showLegendKey val="0"/>
            <c:showVal val="1"/>
            <c:showCatName val="1"/>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strRef>
              <c:f>'Revenue by Distribution Channel'!$A$4:$A$7</c:f>
              <c:strCache>
                <c:ptCount val="3"/>
                <c:pt idx="0">
                  <c:v>Grocery Stores</c:v>
                </c:pt>
                <c:pt idx="1">
                  <c:v>Hypermarkets</c:v>
                </c:pt>
                <c:pt idx="2">
                  <c:v>Independent Grocers</c:v>
                </c:pt>
              </c:strCache>
            </c:strRef>
          </c:cat>
          <c:val>
            <c:numRef>
              <c:f>'Revenue by Distribution Channel'!$B$4:$B$7</c:f>
              <c:numCache>
                <c:formatCode>0.00%</c:formatCode>
                <c:ptCount val="3"/>
                <c:pt idx="0">
                  <c:v>0.40451148066166492</c:v>
                </c:pt>
                <c:pt idx="1">
                  <c:v>0.36393029122738307</c:v>
                </c:pt>
                <c:pt idx="2">
                  <c:v>0.23155822811095192</c:v>
                </c:pt>
              </c:numCache>
            </c:numRef>
          </c:val>
          <c:extLst>
            <c:ext xmlns:c16="http://schemas.microsoft.com/office/drawing/2014/chart" uri="{C3380CC4-5D6E-409C-BE32-E72D297353CC}">
              <c16:uniqueId val="{00000000-CD86-4193-9D9E-3A0838C02C3D}"/>
            </c:ext>
          </c:extLst>
        </c:ser>
        <c:dLbls>
          <c:showLegendKey val="0"/>
          <c:showVal val="0"/>
          <c:showCatName val="0"/>
          <c:showSerName val="0"/>
          <c:showPercent val="0"/>
          <c:showBubbleSize val="0"/>
        </c:dLbls>
        <c:gapWidth val="100"/>
        <c:overlap val="-24"/>
        <c:axId val="475432240"/>
        <c:axId val="475426992"/>
      </c:barChart>
      <c:catAx>
        <c:axId val="475432240"/>
        <c:scaling>
          <c:orientation val="minMax"/>
        </c:scaling>
        <c:delete val="0"/>
        <c:axPos val="b"/>
        <c:numFmt formatCode="General" sourceLinked="1"/>
        <c:majorTickMark val="none"/>
        <c:minorTickMark val="none"/>
        <c:tickLblPos val="nextTo"/>
        <c:spPr>
          <a:noFill/>
          <a:ln w="12700">
            <a:solidFill>
              <a:schemeClr val="lt1">
                <a:lumMod val="95000"/>
                <a:alpha val="54000"/>
              </a:schemeClr>
            </a:solidFill>
            <a:round/>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475426992"/>
        <c:crosses val="autoZero"/>
        <c:auto val="1"/>
        <c:lblAlgn val="ctr"/>
        <c:lblOffset val="100"/>
        <c:noMultiLvlLbl val="0"/>
      </c:catAx>
      <c:valAx>
        <c:axId val="475426992"/>
        <c:scaling>
          <c:orientation val="minMax"/>
        </c:scaling>
        <c:delete val="0"/>
        <c:axPos val="l"/>
        <c:majorGridlines>
          <c:spPr>
            <a:ln w="9525">
              <a:solidFill>
                <a:schemeClr val="lt1">
                  <a:lumMod val="95000"/>
                  <a:alpha val="10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475432240"/>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gradFill rotWithShape="1">
      <a:gsLst>
        <a:gs pos="0">
          <a:schemeClr val="dk1">
            <a:lumMod val="65000"/>
            <a:lumOff val="35000"/>
          </a:schemeClr>
        </a:gs>
        <a:gs pos="100000">
          <a:schemeClr val="dk1">
            <a:lumMod val="85000"/>
            <a:lumOff val="15000"/>
          </a:schemeClr>
        </a:gs>
      </a:gsLst>
      <a:path path="circle">
        <a:fillToRect l="50000" t="50000" r="50000" b="50000"/>
      </a:path>
    </a:gradFill>
    <a:ln>
      <a:noFill/>
    </a:ln>
    <a:effectLst/>
  </c:spPr>
  <c:txPr>
    <a:bodyPr/>
    <a:lstStyle/>
    <a:p>
      <a:pPr>
        <a:defRPr/>
      </a:pPr>
      <a:endParaRPr lang="en-US"/>
    </a:p>
  </c:txPr>
  <c:externalData r:id="rId3">
    <c:autoUpdate val="0"/>
  </c:externalData>
  <c:extLst>
    <c:ext xmlns:c14="http://schemas.microsoft.com/office/drawing/2007/8/2/chart" uri="{781A3756-C4B2-4CAC-9D66-4F8BD8637D16}">
      <c14:pivotOptions>
        <c14:dropZoneFilter val="1"/>
        <c14:dropZoneCategories val="1"/>
        <c14:dropZoneData val="1"/>
        <c14:dropZonesVisible val="1"/>
      </c14:pivotOptions>
    </c:ext>
    <c:ext xmlns:c16="http://schemas.microsoft.com/office/drawing/2014/chart" uri="{E28EC0CA-F0BB-4C9C-879D-F8772B89E7AC}">
      <c16:pivotOptions16>
        <c16:showExpandCollapseFieldButtons val="1"/>
      </c16:pivotOptions16>
    </c:ext>
  </c:extLst>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33">
  <cs:axisTitle>
    <cs:lnRef idx="0"/>
    <cs:fillRef idx="0"/>
    <cs:effectRef idx="0"/>
    <cs:fontRef idx="minor">
      <a:schemeClr val="lt1">
        <a:lumMod val="85000"/>
      </a:schemeClr>
    </cs:fontRef>
    <cs:defRPr sz="900" b="1" kern="1200" cap="all"/>
  </cs:axisTitle>
  <cs:categoryAxis>
    <cs:lnRef idx="0"/>
    <cs:fillRef idx="0"/>
    <cs:effectRef idx="0"/>
    <cs:fontRef idx="minor">
      <a:schemeClr val="lt1">
        <a:lumMod val="85000"/>
      </a:schemeClr>
    </cs:fontRef>
    <cs:spPr>
      <a:ln w="9525">
        <a:solidFill>
          <a:schemeClr val="lt1">
            <a:lumMod val="95000"/>
            <a:alpha val="10000"/>
          </a:schemeClr>
        </a:solidFill>
        <a:round/>
      </a:ln>
    </cs:spPr>
    <cs:defRPr sz="900" kern="1200"/>
  </cs:categoryAxis>
  <cs:chartArea>
    <cs:lnRef idx="0"/>
    <cs:fillRef idx="0"/>
    <cs:effectRef idx="0"/>
    <cs:fontRef idx="minor">
      <a:schemeClr val="dk1"/>
    </cs:fontRef>
    <cs:spPr>
      <a:gradFill rotWithShape="1">
        <a:gsLst>
          <a:gs pos="0">
            <a:schemeClr val="dk1">
              <a:lumMod val="65000"/>
              <a:lumOff val="35000"/>
            </a:schemeClr>
          </a:gs>
          <a:gs pos="100000">
            <a:schemeClr val="dk1">
              <a:lumMod val="85000"/>
              <a:lumOff val="15000"/>
            </a:schemeClr>
          </a:gs>
        </a:gsLst>
        <a:path path="circle">
          <a:fillToRect l="50000" t="50000" r="50000" b="50000"/>
        </a:path>
      </a:gradFill>
    </cs:spPr>
    <cs:defRPr sz="1000" kern="1200"/>
  </cs:chartArea>
  <cs:dataLabel>
    <cs:lnRef idx="0"/>
    <cs:fillRef idx="0"/>
    <cs:effectRef idx="0"/>
    <cs:fontRef idx="minor">
      <a:schemeClr val="lt1">
        <a:lumMod val="85000"/>
      </a:schemeClr>
    </cs:fontRef>
    <cs:defRPr sz="900" kern="1200"/>
  </cs:dataLabel>
  <cs:dataLabelCallout>
    <cs:lnRef idx="0"/>
    <cs:fillRef idx="0"/>
    <cs:effectRef idx="0"/>
    <cs:fontRef idx="minor">
      <a:schemeClr val="dk1">
        <a:lumMod val="65000"/>
        <a:lumOff val="35000"/>
      </a:schemeClr>
    </cs:fontRef>
    <cs:spPr>
      <a:solidFill>
        <a:schemeClr val="lt1"/>
      </a:solidFill>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lt1">
        <a:lumMod val="85000"/>
      </a:schemeClr>
    </cs:fontRef>
    <cs:spPr>
      <a:ln w="9525">
        <a:solidFill>
          <a:schemeClr val="lt1">
            <a:lumMod val="95000"/>
            <a:alpha val="54000"/>
          </a:schemeClr>
        </a:solidFill>
      </a:ln>
    </cs:spPr>
    <cs:defRPr sz="900" kern="1200"/>
  </cs:dataTable>
  <cs:downBar>
    <cs:lnRef idx="0"/>
    <cs:fillRef idx="0"/>
    <cs:effectRef idx="0"/>
    <cs:fontRef idx="minor">
      <a:schemeClr val="tx1"/>
    </cs:fontRef>
    <cs:spPr>
      <a:solidFill>
        <a:schemeClr val="dk1">
          <a:lumMod val="75000"/>
          <a:lumOff val="25000"/>
        </a:schemeClr>
      </a:solidFill>
      <a:ln w="9525">
        <a:solidFill>
          <a:schemeClr val="lt1">
            <a:lumMod val="95000"/>
            <a:alpha val="54000"/>
          </a:schemeClr>
        </a:solidFill>
      </a:ln>
    </cs:spPr>
  </cs:downBar>
  <cs:dropLine>
    <cs:lnRef idx="0"/>
    <cs:fillRef idx="0"/>
    <cs:effectRef idx="0"/>
    <cs:fontRef idx="minor">
      <a:schemeClr val="tx1"/>
    </cs:fontRef>
    <cs:spPr>
      <a:ln w="9525">
        <a:solidFill>
          <a:schemeClr val="lt1">
            <a:lumMod val="95000"/>
            <a:alpha val="54000"/>
          </a:schemeClr>
        </a:solidFill>
        <a:prstDash val="dash"/>
      </a:ln>
    </cs:spPr>
  </cs:dropLine>
  <cs:errorBar>
    <cs:lnRef idx="0"/>
    <cs:fillRef idx="0"/>
    <cs:effectRef idx="0"/>
    <cs:fontRef idx="minor">
      <a:schemeClr val="tx1"/>
    </cs:fontRef>
    <cs:spPr>
      <a:ln w="9525">
        <a:solidFill>
          <a:schemeClr val="lt1">
            <a:lumMod val="9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a:solidFill>
          <a:schemeClr val="lt1">
            <a:lumMod val="95000"/>
            <a:alpha val="10000"/>
          </a:schemeClr>
        </a:solidFill>
        <a:round/>
      </a:ln>
    </cs:spPr>
  </cs:gridlineMajor>
  <cs:gridlineMinor>
    <cs:lnRef idx="0"/>
    <cs:fillRef idx="0"/>
    <cs:effectRef idx="0"/>
    <cs:fontRef idx="minor">
      <a:schemeClr val="tx1"/>
    </cs:fontRef>
    <cs:spPr>
      <a:ln>
        <a:solidFill>
          <a:schemeClr val="lt1">
            <a:lumMod val="95000"/>
            <a:alpha val="5000"/>
          </a:schemeClr>
        </a:solidFill>
      </a:ln>
    </cs:spPr>
  </cs:gridlineMinor>
  <cs:hiLoLine>
    <cs:lnRef idx="0"/>
    <cs:fillRef idx="0"/>
    <cs:effectRef idx="0"/>
    <cs:fontRef idx="minor">
      <a:schemeClr val="tx1"/>
    </cs:fontRef>
    <cs:spPr>
      <a:ln w="9525">
        <a:solidFill>
          <a:schemeClr val="lt1">
            <a:lumMod val="95000"/>
            <a:alpha val="54000"/>
          </a:schemeClr>
        </a:solidFill>
        <a:prstDash val="dash"/>
      </a:ln>
    </cs:spPr>
  </cs:hiLoLine>
  <cs:leaderLine>
    <cs:lnRef idx="0"/>
    <cs:fillRef idx="0"/>
    <cs:effectRef idx="0"/>
    <cs:fontRef idx="minor">
      <a:schemeClr val="tx1"/>
    </cs:fontRef>
    <cs:spPr>
      <a:ln w="9525">
        <a:solidFill>
          <a:schemeClr val="lt1">
            <a:lumMod val="95000"/>
            <a:alpha val="54000"/>
          </a:schemeClr>
        </a:solidFill>
      </a:ln>
    </cs:spPr>
  </cs:leaderLine>
  <cs:legend>
    <cs:lnRef idx="0"/>
    <cs:fillRef idx="0"/>
    <cs:effectRef idx="0"/>
    <cs:fontRef idx="minor">
      <a:schemeClr val="lt1">
        <a:lumMod val="85000"/>
      </a:schemeClr>
    </cs:fontRef>
    <cs:defRPr sz="900" kern="12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lt1">
        <a:lumMod val="85000"/>
      </a:schemeClr>
    </cs:fontRef>
    <cs:spPr>
      <a:ln w="12700">
        <a:solidFill>
          <a:schemeClr val="lt1">
            <a:lumMod val="95000"/>
            <a:alpha val="54000"/>
          </a:schemeClr>
        </a:solidFill>
        <a:round/>
      </a:ln>
    </cs:spPr>
    <cs:defRPr sz="900" kern="1200"/>
  </cs:seriesAxis>
  <cs:seriesLine>
    <cs:lnRef idx="0"/>
    <cs:fillRef idx="0"/>
    <cs:effectRef idx="0"/>
    <cs:fontRef idx="minor">
      <a:schemeClr val="lt1"/>
    </cs:fontRef>
    <cs:spPr>
      <a:ln w="9525">
        <a:solidFill>
          <a:schemeClr val="lt1">
            <a:lumMod val="95000"/>
            <a:alpha val="54000"/>
          </a:schemeClr>
        </a:solidFill>
        <a:round/>
      </a:ln>
    </cs:spPr>
  </cs:seriesLine>
  <cs:title>
    <cs:lnRef idx="0"/>
    <cs:fillRef idx="0"/>
    <cs:effectRef idx="0"/>
    <cs:fontRef idx="minor">
      <a:schemeClr val="lt1">
        <a:lumMod val="95000"/>
      </a:schemeClr>
    </cs:fontRef>
    <cs:defRPr sz="1600" b="1" kern="1200" spc="100" baseline="0">
      <a:effectLst>
        <a:outerShdw blurRad="50800" dist="38100" dir="5400000" algn="t" rotWithShape="0">
          <a:prstClr val="black">
            <a:alpha val="40000"/>
          </a:prstClr>
        </a:outerShdw>
      </a:effectLst>
    </cs:defRPr>
  </cs:title>
  <cs:trendline>
    <cs:lnRef idx="0">
      <cs:styleClr val="auto"/>
    </cs:lnRef>
    <cs:fillRef idx="0"/>
    <cs:effectRef idx="0"/>
    <cs:fontRef idx="minor">
      <a:schemeClr val="tx1"/>
    </cs:fontRef>
    <cs:spPr>
      <a:ln w="19050" cap="rnd">
        <a:solidFill>
          <a:schemeClr val="phClr"/>
        </a:solidFill>
      </a:ln>
    </cs:spPr>
  </cs:trendline>
  <cs:trendlineLabel>
    <cs:lnRef idx="0"/>
    <cs:fillRef idx="0"/>
    <cs:effectRef idx="0"/>
    <cs:fontRef idx="minor">
      <a:schemeClr val="lt1">
        <a:lumMod val="85000"/>
      </a:schemeClr>
    </cs:fontRef>
    <cs:defRPr sz="900" kern="1200"/>
  </cs:trendlineLabel>
  <cs:upBar>
    <cs:lnRef idx="0"/>
    <cs:fillRef idx="0"/>
    <cs:effectRef idx="0"/>
    <cs:fontRef idx="minor">
      <a:schemeClr val="tx1"/>
    </cs:fontRef>
    <cs:spPr>
      <a:solidFill>
        <a:schemeClr val="lt1"/>
      </a:solidFill>
      <a:ln w="9525">
        <a:solidFill>
          <a:schemeClr val="lt1">
            <a:lumMod val="95000"/>
            <a:alpha val="54000"/>
          </a:schemeClr>
        </a:solidFill>
      </a:ln>
    </cs:spPr>
  </cs:upBar>
  <cs:valueAxis>
    <cs:lnRef idx="0"/>
    <cs:fillRef idx="0"/>
    <cs:effectRef idx="0"/>
    <cs:fontRef idx="minor">
      <a:schemeClr val="lt1">
        <a:lumMod val="85000"/>
      </a:schemeClr>
    </cs:fontRef>
    <cs:defRPr sz="900" kern="1200"/>
  </cs:valueAxis>
  <cs:wall>
    <cs:lnRef idx="0"/>
    <cs:fillRef idx="0"/>
    <cs:effectRef idx="0"/>
    <cs:fontRef idx="minor">
      <a:schemeClr val="tx1"/>
    </cs:fontRef>
  </cs:wall>
</cs:chartStyle>
</file>

<file path=word/charts/style2.xml><?xml version="1.0" encoding="utf-8"?>
<cs:chartStyle xmlns:cs="http://schemas.microsoft.com/office/drawing/2012/chartStyle" xmlns:a="http://schemas.openxmlformats.org/drawingml/2006/main" id="209">
  <cs:axisTitle>
    <cs:lnRef idx="0"/>
    <cs:fillRef idx="0"/>
    <cs:effectRef idx="0"/>
    <cs:fontRef idx="minor">
      <a:schemeClr val="lt1">
        <a:lumMod val="85000"/>
      </a:schemeClr>
    </cs:fontRef>
    <cs:defRPr sz="900" b="1" kern="1200" cap="all"/>
  </cs:axisTitle>
  <cs:categoryAxis>
    <cs:lnRef idx="0"/>
    <cs:fillRef idx="0"/>
    <cs:effectRef idx="0"/>
    <cs:fontRef idx="minor">
      <a:schemeClr val="lt1">
        <a:lumMod val="85000"/>
      </a:schemeClr>
    </cs:fontRef>
    <cs:spPr>
      <a:ln w="12700">
        <a:solidFill>
          <a:schemeClr val="lt1">
            <a:lumMod val="95000"/>
            <a:alpha val="54000"/>
          </a:schemeClr>
        </a:solidFill>
        <a:round/>
      </a:ln>
    </cs:spPr>
    <cs:defRPr sz="900" kern="1200"/>
  </cs:categoryAxis>
  <cs:chartArea>
    <cs:lnRef idx="0"/>
    <cs:fillRef idx="0"/>
    <cs:effectRef idx="0"/>
    <cs:fontRef idx="minor">
      <a:schemeClr val="dk1"/>
    </cs:fontRef>
    <cs:spPr>
      <a:gradFill rotWithShape="1">
        <a:gsLst>
          <a:gs pos="0">
            <a:schemeClr val="dk1">
              <a:lumMod val="65000"/>
              <a:lumOff val="35000"/>
            </a:schemeClr>
          </a:gs>
          <a:gs pos="100000">
            <a:schemeClr val="dk1">
              <a:lumMod val="85000"/>
              <a:lumOff val="15000"/>
            </a:schemeClr>
          </a:gs>
        </a:gsLst>
        <a:path path="circle">
          <a:fillToRect l="50000" t="50000" r="50000" b="50000"/>
        </a:path>
      </a:gradFill>
    </cs:spPr>
    <cs:defRPr sz="1000" kern="1200"/>
  </cs:chartArea>
  <cs:dataLabel>
    <cs:lnRef idx="0"/>
    <cs:fillRef idx="0"/>
    <cs:effectRef idx="0"/>
    <cs:fontRef idx="minor">
      <a:schemeClr val="lt1">
        <a:lumMod val="85000"/>
      </a:schemeClr>
    </cs:fontRef>
    <cs:defRPr sz="900" kern="1200"/>
  </cs:dataLabel>
  <cs:dataLabelCallout>
    <cs:lnRef idx="0"/>
    <cs:fillRef idx="0"/>
    <cs:effectRef idx="0"/>
    <cs:fontRef idx="minor">
      <a:schemeClr val="dk1">
        <a:lumMod val="65000"/>
        <a:lumOff val="35000"/>
      </a:schemeClr>
    </cs:fontRef>
    <cs:spPr>
      <a:solidFill>
        <a:schemeClr val="lt1"/>
      </a:solidFill>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lt1">
        <a:lumMod val="85000"/>
      </a:schemeClr>
    </cs:fontRef>
    <cs:spPr>
      <a:ln w="9525">
        <a:solidFill>
          <a:schemeClr val="lt1">
            <a:lumMod val="95000"/>
            <a:alpha val="54000"/>
          </a:schemeClr>
        </a:solidFill>
      </a:ln>
    </cs:spPr>
    <cs:defRPr sz="900" kern="1200"/>
  </cs:dataTable>
  <cs:downBar>
    <cs:lnRef idx="0"/>
    <cs:fillRef idx="0"/>
    <cs:effectRef idx="0"/>
    <cs:fontRef idx="minor">
      <a:schemeClr val="lt1"/>
    </cs:fontRef>
    <cs:spPr>
      <a:solidFill>
        <a:schemeClr val="dk1">
          <a:lumMod val="75000"/>
          <a:lumOff val="25000"/>
        </a:schemeClr>
      </a:solidFill>
      <a:ln w="9525">
        <a:solidFill>
          <a:schemeClr val="lt1">
            <a:lumMod val="95000"/>
            <a:alpha val="54000"/>
          </a:schemeClr>
        </a:solidFill>
      </a:ln>
    </cs:spPr>
  </cs:downBar>
  <cs:dropLine>
    <cs:lnRef idx="0"/>
    <cs:fillRef idx="0"/>
    <cs:effectRef idx="0"/>
    <cs:fontRef idx="minor">
      <a:schemeClr val="lt1"/>
    </cs:fontRef>
    <cs:spPr>
      <a:ln w="9525">
        <a:solidFill>
          <a:schemeClr val="lt1">
            <a:lumMod val="95000"/>
            <a:alpha val="54000"/>
          </a:schemeClr>
        </a:solidFill>
        <a:prstDash val="dash"/>
      </a:ln>
    </cs:spPr>
  </cs:dropLine>
  <cs:errorBar>
    <cs:lnRef idx="0"/>
    <cs:fillRef idx="0"/>
    <cs:effectRef idx="0"/>
    <cs:fontRef idx="minor">
      <a:schemeClr val="lt1"/>
    </cs:fontRef>
    <cs:spPr>
      <a:ln w="9525">
        <a:solidFill>
          <a:schemeClr val="lt1">
            <a:lumMod val="95000"/>
          </a:schemeClr>
        </a:solidFill>
        <a:round/>
      </a:ln>
    </cs:spPr>
  </cs:errorBar>
  <cs:floor>
    <cs:lnRef idx="0"/>
    <cs:fillRef idx="0"/>
    <cs:effectRef idx="0"/>
    <cs:fontRef idx="minor">
      <a:schemeClr val="lt1"/>
    </cs:fontRef>
  </cs:floor>
  <cs:gridlineMajor>
    <cs:lnRef idx="0"/>
    <cs:fillRef idx="0"/>
    <cs:effectRef idx="0"/>
    <cs:fontRef idx="minor">
      <a:schemeClr val="lt1"/>
    </cs:fontRef>
    <cs:spPr>
      <a:ln w="9525">
        <a:solidFill>
          <a:schemeClr val="lt1">
            <a:lumMod val="95000"/>
            <a:alpha val="10000"/>
          </a:schemeClr>
        </a:solidFill>
        <a:round/>
      </a:ln>
    </cs:spPr>
  </cs:gridlineMajor>
  <cs:gridlineMinor>
    <cs:lnRef idx="0"/>
    <cs:fillRef idx="0"/>
    <cs:effectRef idx="0"/>
    <cs:fontRef idx="minor">
      <a:schemeClr val="lt1"/>
    </cs:fontRef>
    <cs:spPr>
      <a:ln>
        <a:solidFill>
          <a:schemeClr val="lt1">
            <a:lumMod val="95000"/>
            <a:alpha val="5000"/>
          </a:schemeClr>
        </a:solidFill>
      </a:ln>
    </cs:spPr>
  </cs:gridlineMinor>
  <cs:hiLoLine>
    <cs:lnRef idx="0"/>
    <cs:fillRef idx="0"/>
    <cs:effectRef idx="0"/>
    <cs:fontRef idx="minor">
      <a:schemeClr val="lt1"/>
    </cs:fontRef>
    <cs:spPr>
      <a:ln w="9525">
        <a:solidFill>
          <a:schemeClr val="lt1">
            <a:lumMod val="95000"/>
            <a:alpha val="54000"/>
          </a:schemeClr>
        </a:solidFill>
        <a:prstDash val="dash"/>
      </a:ln>
    </cs:spPr>
  </cs:hiLoLine>
  <cs:leaderLine>
    <cs:lnRef idx="0"/>
    <cs:fillRef idx="0"/>
    <cs:effectRef idx="0"/>
    <cs:fontRef idx="minor">
      <a:schemeClr val="lt1"/>
    </cs:fontRef>
    <cs:spPr>
      <a:ln w="9525">
        <a:solidFill>
          <a:schemeClr val="lt1">
            <a:lumMod val="95000"/>
            <a:alpha val="54000"/>
          </a:schemeClr>
        </a:solidFill>
      </a:ln>
    </cs:spPr>
  </cs:leaderLine>
  <cs:legend>
    <cs:lnRef idx="0"/>
    <cs:fillRef idx="0"/>
    <cs:effectRef idx="0"/>
    <cs:fontRef idx="minor">
      <a:schemeClr val="lt1">
        <a:lumMod val="8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lt1">
        <a:lumMod val="85000"/>
      </a:schemeClr>
    </cs:fontRef>
    <cs:spPr>
      <a:ln w="12700">
        <a:solidFill>
          <a:schemeClr val="lt1">
            <a:lumMod val="95000"/>
            <a:alpha val="54000"/>
          </a:schemeClr>
        </a:solidFill>
        <a:round/>
      </a:ln>
    </cs:spPr>
    <cs:defRPr sz="900" kern="1200"/>
  </cs:seriesAxis>
  <cs:seriesLine>
    <cs:lnRef idx="0"/>
    <cs:fillRef idx="0"/>
    <cs:effectRef idx="0"/>
    <cs:fontRef idx="minor">
      <a:schemeClr val="lt1"/>
    </cs:fontRef>
    <cs:spPr>
      <a:ln w="9525">
        <a:solidFill>
          <a:schemeClr val="lt1">
            <a:lumMod val="95000"/>
            <a:alpha val="54000"/>
          </a:schemeClr>
        </a:solidFill>
        <a:round/>
      </a:ln>
    </cs:spPr>
  </cs:seriesLine>
  <cs:title>
    <cs:lnRef idx="0"/>
    <cs:fillRef idx="0"/>
    <cs:effectRef idx="0"/>
    <cs:fontRef idx="minor">
      <a:schemeClr val="lt1">
        <a:lumMod val="95000"/>
      </a:schemeClr>
    </cs:fontRef>
    <cs:defRPr sz="1600" b="1" kern="1200" spc="100" baseline="0">
      <a:effectLst>
        <a:outerShdw blurRad="50800" dist="38100" dir="5400000" algn="t" rotWithShape="0">
          <a:prstClr val="black">
            <a:alpha val="40000"/>
          </a:prstClr>
        </a:outerShdw>
      </a:effectLst>
    </cs:defRPr>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lt1">
        <a:lumMod val="85000"/>
      </a:schemeClr>
    </cs:fontRef>
    <cs:defRPr sz="900" kern="1200"/>
  </cs:trendlineLabel>
  <cs:upBar>
    <cs:lnRef idx="0"/>
    <cs:fillRef idx="0"/>
    <cs:effectRef idx="0"/>
    <cs:fontRef idx="minor">
      <a:schemeClr val="lt1"/>
    </cs:fontRef>
    <cs:spPr>
      <a:solidFill>
        <a:schemeClr val="lt1"/>
      </a:solidFill>
      <a:ln w="9525">
        <a:solidFill>
          <a:schemeClr val="lt1">
            <a:lumMod val="95000"/>
            <a:alpha val="54000"/>
          </a:schemeClr>
        </a:solidFill>
      </a:ln>
    </cs:spPr>
  </cs:upBar>
  <cs:valueAxis>
    <cs:lnRef idx="0"/>
    <cs:fillRef idx="0"/>
    <cs:effectRef idx="0"/>
    <cs:fontRef idx="minor">
      <a:schemeClr val="lt1">
        <a:lumMod val="85000"/>
      </a:schemeClr>
    </cs:fontRef>
    <cs:defRPr sz="900" kern="1200"/>
  </cs:valueAxis>
  <cs:wall>
    <cs:lnRef idx="0"/>
    <cs:fillRef idx="0"/>
    <cs:effectRef idx="0"/>
    <cs:fontRef idx="minor">
      <a:schemeClr val="lt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969</Words>
  <Characters>5524</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kabugi nguru</dc:creator>
  <cp:lastModifiedBy>kabugi nguru</cp:lastModifiedBy>
  <cp:revision>4</cp:revision>
  <dcterms:created xsi:type="dcterms:W3CDTF">2019-12-05T15:09:00Z</dcterms:created>
  <dcterms:modified xsi:type="dcterms:W3CDTF">2019-12-05T15:09:00Z</dcterms:modified>
</cp:coreProperties>
</file>